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theme/theme1.xml" ContentType="application/vnd.openxmlformats-officedocument.theme+xml"/>
  <Override PartName="/word/diagrams/drawing1.xml" ContentType="application/vnd.ms-office.drawingml.diagramDrawing+xml"/>
  <Override PartName="/word/fontTable.xml" ContentType="application/vnd.openxmlformats-officedocument.wordprocessingml.fontTable+xml"/>
  <Override PartName="/docProps/core.xml" ContentType="application/vnd.openxmlformats-package.core-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diagrams/data1.xml" ContentType="application/vnd.openxmlformats-officedocument.drawingml.diagramData+xml"/>
  <Override PartName="/word/settings.xml" ContentType="application/vnd.openxmlformats-officedocument.wordprocessingml.settings+xml"/>
  <Override PartName="/docProps/custom.xml" ContentType="application/vnd.openxmlformats-officedocument.custom-properties+xml"/>
  <Override PartName="/word/diagrams/layout1.xml" ContentType="application/vnd.openxmlformats-officedocument.drawingml.diagramLayout+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diagrams/quickStyle1.xml" ContentType="application/vnd.openxmlformats-officedocument.drawingml.diagramStyle+xml"/>
  <Override PartName="/word/diagrams/colors2.xml" ContentType="application/vnd.openxmlformats-officedocument.drawingml.diagramColor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center"/>
        <w:rPr>
          <w:rFonts w:ascii="Arial" w:cs="Arial" w:eastAsia="Times New Roman" w:hAnsi="Arial"/>
          <w:lang w:val="es-MX"/>
        </w:rPr>
      </w:pPr>
      <w:r>
        <w:rPr>
          <w:rFonts w:ascii="Arial" w:cs="Arial" w:eastAsia="Times New Roman" w:hAnsi="Arial"/>
          <w:lang w:val="es-MX"/>
        </w:rPr>
        <w:t>DIAGN</w:t>
      </w:r>
      <w:r>
        <w:rPr>
          <w:rFonts w:ascii="Arial" w:cs="Arial" w:eastAsia="Times New Roman" w:hAnsi="Arial"/>
          <w:lang w:val="es-MX"/>
        </w:rPr>
        <w:t>Ó</w:t>
      </w:r>
      <w:r>
        <w:rPr>
          <w:rFonts w:ascii="Arial" w:cs="Arial" w:eastAsia="Times New Roman" w:hAnsi="Arial"/>
          <w:lang w:val="es-MX"/>
        </w:rPr>
        <w:t>S</w:t>
      </w:r>
      <w:r>
        <w:rPr>
          <w:rFonts w:ascii="Arial" w:cs="Arial" w:eastAsia="Times New Roman" w:hAnsi="Arial"/>
          <w:lang w:val="es-MX"/>
        </w:rPr>
        <w:t>TICO</w:t>
      </w:r>
      <w:r>
        <w:rPr>
          <w:rFonts w:ascii="Arial" w:cs="Arial" w:eastAsia="Times New Roman" w:hAnsi="Arial"/>
          <w:lang w:val="es-MX"/>
        </w:rPr>
        <w:t xml:space="preserve"> DE LA LOCALIDAD DE LA CANDELA</w:t>
      </w:r>
      <w:r>
        <w:rPr>
          <w:rFonts w:ascii="Arial" w:cs="Arial" w:eastAsia="Times New Roman" w:hAnsi="Arial"/>
          <w:lang w:val="es-MX"/>
        </w:rPr>
        <w:t>R</w:t>
      </w:r>
      <w:r>
        <w:rPr>
          <w:rFonts w:ascii="Arial" w:cs="Arial" w:eastAsia="Times New Roman" w:hAnsi="Arial"/>
          <w:lang w:val="es-MX"/>
        </w:rPr>
        <w:t>I</w:t>
      </w:r>
      <w:r>
        <w:rPr>
          <w:rFonts w:ascii="Arial" w:cs="Arial" w:eastAsia="Times New Roman" w:hAnsi="Arial"/>
          <w:lang w:val="es-MX"/>
        </w:rPr>
        <w:t>A</w:t>
      </w: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ind w:left="720" w:hanging="72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r>
        <w:rPr>
          <w:rFonts w:ascii="Arial" w:cs="Arial" w:eastAsia="Times New Roman" w:hAnsi="Arial"/>
          <w:lang w:val="es-MX"/>
        </w:rPr>
        <w:t>AGOSTO 28</w:t>
      </w:r>
      <w:r>
        <w:rPr>
          <w:rFonts w:ascii="Arial" w:cs="Arial" w:eastAsia="Times New Roman" w:hAnsi="Arial"/>
          <w:lang w:val="es-MX"/>
        </w:rPr>
        <w:t xml:space="preserve"> DE</w:t>
      </w:r>
      <w:r>
        <w:rPr>
          <w:rFonts w:ascii="Arial" w:cs="Arial" w:eastAsia="Times New Roman" w:hAnsi="Arial"/>
          <w:lang w:val="es-MX"/>
        </w:rPr>
        <w:t xml:space="preserve"> </w:t>
      </w:r>
      <w:r>
        <w:rPr>
          <w:rFonts w:ascii="Arial" w:cs="Arial" w:eastAsia="Times New Roman" w:hAnsi="Arial"/>
          <w:lang w:val="es-MX"/>
        </w:rPr>
        <w:t>2020</w:t>
      </w: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266"/>
        <w:jc w:val="both"/>
        <w:rPr>
          <w:rFonts w:ascii="Arial" w:cs="Arial" w:hAnsi="Arial"/>
          <w:b/>
          <w:color w:val="auto"/>
          <w:sz w:val="22"/>
          <w:szCs w:val="22"/>
        </w:rPr>
      </w:pPr>
      <w:r>
        <w:rPr>
          <w:rFonts w:ascii="Arial" w:cs="Arial" w:hAnsi="Arial"/>
          <w:b/>
          <w:color w:val="auto"/>
          <w:sz w:val="22"/>
          <w:szCs w:val="22"/>
          <w:lang w:val="es-ES"/>
        </w:rPr>
        <w:t>Contenido</w:t>
      </w:r>
    </w:p>
    <w:p>
      <w:pPr>
        <w:pStyle w:val="style20"/>
        <w:tabs>
          <w:tab w:val="right" w:leader="dot" w:pos="8828"/>
        </w:tabs>
        <w:rPr>
          <w:rFonts w:eastAsia="宋体"/>
          <w:noProof/>
          <w:lang w:eastAsia="es-CO"/>
        </w:rPr>
      </w:pPr>
      <w:r>
        <w:rPr>
          <w:rFonts w:ascii="Arial" w:cs="Arial" w:hAnsi="Arial"/>
        </w:rPr>
        <w:fldChar w:fldCharType="begin"/>
      </w:r>
      <w:r>
        <w:rPr>
          <w:rFonts w:ascii="Arial" w:cs="Arial" w:hAnsi="Arial"/>
        </w:rPr>
        <w:instrText xml:space="preserve"> TOC \o "1-3" \h \z \u </w:instrText>
      </w:r>
      <w:r>
        <w:rPr>
          <w:rFonts w:ascii="Arial" w:cs="Arial" w:hAnsi="Arial"/>
        </w:rPr>
        <w:fldChar w:fldCharType="separate"/>
      </w:r>
      <w:r>
        <w:rPr/>
        <w:fldChar w:fldCharType="begin"/>
      </w:r>
      <w:r>
        <w:instrText xml:space="preserve"> HYPERLINK \l "_Toc47477382" </w:instrText>
      </w:r>
      <w:r>
        <w:rPr/>
        <w:fldChar w:fldCharType="separate"/>
      </w:r>
      <w:r>
        <w:rPr>
          <w:rStyle w:val="style85"/>
          <w:rFonts w:ascii="Arial" w:cs="Arial" w:hAnsi="Arial"/>
          <w:noProof/>
          <w:lang w:val="es-MX"/>
        </w:rPr>
        <w:t>RESEÑA HISTORICA</w:t>
      </w:r>
      <w:r>
        <w:rPr>
          <w:noProof/>
          <w:webHidden/>
        </w:rPr>
        <w:tab/>
      </w:r>
      <w:r>
        <w:rPr>
          <w:noProof/>
          <w:webHidden/>
        </w:rPr>
        <w:fldChar w:fldCharType="begin"/>
      </w:r>
      <w:r>
        <w:rPr>
          <w:noProof/>
          <w:webHidden/>
        </w:rPr>
        <w:instrText xml:space="preserve"> PAGEREF _Toc47477382 \h </w:instrText>
      </w:r>
      <w:r>
        <w:rPr>
          <w:noProof/>
          <w:webHidden/>
        </w:rPr>
        <w:fldChar w:fldCharType="separate"/>
      </w:r>
      <w:r>
        <w:rPr>
          <w:noProof/>
          <w:webHidden/>
        </w:rPr>
        <w:t>1</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"_Toc47477383" </w:instrText>
      </w:r>
      <w:r>
        <w:rPr/>
        <w:fldChar w:fldCharType="separate"/>
      </w:r>
      <w:r>
        <w:rPr>
          <w:rStyle w:val="style85"/>
          <w:rFonts w:ascii="Arial" w:cs="Arial" w:hAnsi="Arial"/>
          <w:bCs/>
          <w:noProof/>
        </w:rPr>
        <w:t>HISTORIA ECLESIÁSTICA</w:t>
      </w:r>
      <w:r>
        <w:rPr>
          <w:noProof/>
          <w:webHidden/>
        </w:rPr>
        <w:tab/>
      </w:r>
      <w:r>
        <w:rPr>
          <w:noProof/>
          <w:webHidden/>
        </w:rPr>
        <w:fldChar w:fldCharType="begin"/>
      </w:r>
      <w:r>
        <w:rPr>
          <w:noProof/>
          <w:webHidden/>
        </w:rPr>
        <w:instrText xml:space="preserve"> PAGEREF _Toc47477383 \h </w:instrText>
      </w:r>
      <w:r>
        <w:rPr>
          <w:noProof/>
          <w:webHidden/>
        </w:rPr>
        <w:fldChar w:fldCharType="separate"/>
      </w:r>
      <w:r>
        <w:rPr>
          <w:noProof/>
          <w:webHidden/>
        </w:rPr>
        <w:t>2</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"_Toc47477384" </w:instrText>
      </w:r>
      <w:r>
        <w:rPr/>
        <w:fldChar w:fldCharType="separate"/>
      </w:r>
      <w:r>
        <w:rPr>
          <w:rStyle w:val="style85"/>
          <w:rFonts w:ascii="Arial" w:cs="Arial" w:hAnsi="Arial"/>
          <w:bCs/>
          <w:noProof/>
        </w:rPr>
        <w:t>MARCO HISTÓRICO LEGAL</w:t>
      </w:r>
      <w:r>
        <w:rPr>
          <w:noProof/>
          <w:webHidden/>
        </w:rPr>
        <w:tab/>
      </w:r>
      <w:r>
        <w:rPr>
          <w:noProof/>
          <w:webHidden/>
        </w:rPr>
        <w:fldChar w:fldCharType="begin"/>
      </w:r>
      <w:r>
        <w:rPr>
          <w:noProof/>
          <w:webHidden/>
        </w:rPr>
        <w:instrText xml:space="preserve"> PAGEREF _Toc47477384 \h </w:instrText>
      </w:r>
      <w:r>
        <w:rPr>
          <w:noProof/>
          <w:webHidden/>
        </w:rPr>
        <w:fldChar w:fldCharType="separate"/>
      </w:r>
      <w:r>
        <w:rPr>
          <w:noProof/>
          <w:webHidden/>
        </w:rPr>
        <w:t>2</w:t>
      </w:r>
      <w:r>
        <w:rPr>
          <w:noProof/>
          <w:webHidden/>
        </w:rPr>
        <w:fldChar w:fldCharType="end"/>
      </w:r>
      <w:r>
        <w:rPr/>
        <w:fldChar w:fldCharType="end"/>
      </w:r>
    </w:p>
    <w:p>
      <w:pPr>
        <w:pStyle w:val="style20"/>
        <w:tabs>
          <w:tab w:val="right" w:leader="dot" w:pos="8828"/>
        </w:tabs>
        <w:rPr>
          <w:rFonts w:eastAsia="宋体"/>
          <w:noProof/>
          <w:lang w:eastAsia="es-CO"/>
        </w:rPr>
      </w:pPr>
      <w:r>
        <w:rPr/>
        <w:fldChar w:fldCharType="begin"/>
      </w:r>
      <w:r>
        <w:instrText xml:space="preserve"> HYPERLINK \l "_Toc47477385" </w:instrText>
      </w:r>
      <w:r>
        <w:rPr/>
        <w:fldChar w:fldCharType="separate"/>
      </w:r>
      <w:r>
        <w:rPr>
          <w:rStyle w:val="style85"/>
          <w:rFonts w:ascii="Arial" w:cs="Arial" w:hAnsi="Arial"/>
          <w:noProof/>
        </w:rPr>
        <w:t>ASPECTOS GEOGRÁFICOS.</w:t>
      </w:r>
      <w:r>
        <w:rPr>
          <w:noProof/>
          <w:webHidden/>
        </w:rPr>
        <w:tab/>
      </w:r>
      <w:r>
        <w:rPr>
          <w:noProof/>
          <w:webHidden/>
        </w:rPr>
        <w:fldChar w:fldCharType="begin"/>
      </w:r>
      <w:r>
        <w:rPr>
          <w:noProof/>
          <w:webHidden/>
        </w:rPr>
        <w:instrText xml:space="preserve"> PAGEREF _Toc47477385 \h </w:instrText>
      </w:r>
      <w:r>
        <w:rPr>
          <w:noProof/>
          <w:webHidden/>
        </w:rPr>
        <w:fldChar w:fldCharType="separate"/>
      </w:r>
      <w:r>
        <w:rPr>
          <w:noProof/>
          <w:webHidden/>
        </w:rPr>
        <w:t>3</w:t>
      </w:r>
      <w:r>
        <w:rPr>
          <w:noProof/>
          <w:webHidden/>
        </w:rPr>
        <w:fldChar w:fldCharType="end"/>
      </w:r>
      <w:r>
        <w:rPr/>
        <w:fldChar w:fldCharType="end"/>
      </w:r>
    </w:p>
    <w:p>
      <w:pPr>
        <w:pStyle w:val="style20"/>
        <w:tabs>
          <w:tab w:val="right" w:leader="dot" w:pos="8828"/>
        </w:tabs>
        <w:rPr>
          <w:rFonts w:eastAsia="宋体"/>
          <w:noProof/>
          <w:lang w:eastAsia="es-CO"/>
        </w:rPr>
      </w:pPr>
      <w:r>
        <w:rPr/>
        <w:fldChar w:fldCharType="begin"/>
      </w:r>
      <w:r>
        <w:instrText xml:space="preserve"> HYPERLINK \l "_Toc47477386" </w:instrText>
      </w:r>
      <w:r>
        <w:rPr/>
        <w:fldChar w:fldCharType="separate"/>
      </w:r>
      <w:r>
        <w:rPr>
          <w:rStyle w:val="style85"/>
          <w:rFonts w:ascii="Arial" w:cs="Arial" w:hAnsi="Arial"/>
          <w:noProof/>
        </w:rPr>
        <w:t>POBLACIÓN</w:t>
      </w:r>
      <w:r>
        <w:rPr>
          <w:noProof/>
          <w:webHidden/>
        </w:rPr>
        <w:tab/>
      </w:r>
      <w:r>
        <w:rPr>
          <w:noProof/>
          <w:webHidden/>
        </w:rPr>
        <w:fldChar w:fldCharType="begin"/>
      </w:r>
      <w:r>
        <w:rPr>
          <w:noProof/>
          <w:webHidden/>
        </w:rPr>
        <w:instrText xml:space="preserve"> PAGEREF _Toc47477386 \h </w:instrText>
      </w:r>
      <w:r>
        <w:rPr>
          <w:noProof/>
          <w:webHidden/>
        </w:rPr>
        <w:fldChar w:fldCharType="separate"/>
      </w:r>
      <w:r>
        <w:rPr>
          <w:noProof/>
          <w:webHidden/>
        </w:rPr>
        <w:t>5</w:t>
      </w:r>
      <w:r>
        <w:rPr>
          <w:noProof/>
          <w:webHidden/>
        </w:rPr>
        <w:fldChar w:fldCharType="end"/>
      </w:r>
      <w:r>
        <w:rPr/>
        <w:fldChar w:fldCharType="end"/>
      </w:r>
    </w:p>
    <w:p>
      <w:pPr>
        <w:pStyle w:val="style20"/>
        <w:tabs>
          <w:tab w:val="right" w:leader="dot" w:pos="8828"/>
        </w:tabs>
        <w:rPr>
          <w:rFonts w:eastAsia="宋体"/>
          <w:noProof/>
          <w:lang w:eastAsia="es-CO"/>
        </w:rPr>
      </w:pPr>
      <w:r>
        <w:rPr/>
        <w:fldChar w:fldCharType="begin"/>
      </w:r>
      <w:r>
        <w:instrText xml:space="preserve"> HYPERLINK \l "_Toc47477387" </w:instrText>
      </w:r>
      <w:r>
        <w:rPr/>
        <w:fldChar w:fldCharType="separate"/>
      </w:r>
      <w:r>
        <w:rPr>
          <w:rStyle w:val="style85"/>
          <w:rFonts w:ascii="Arial" w:cs="Arial" w:hAnsi="Arial"/>
          <w:noProof/>
        </w:rPr>
        <w:t>DESCRIPCIÓN DE LA LOCALIDAD.</w:t>
      </w:r>
      <w:r>
        <w:rPr>
          <w:noProof/>
          <w:webHidden/>
        </w:rPr>
        <w:tab/>
      </w:r>
      <w:r>
        <w:rPr>
          <w:noProof/>
          <w:webHidden/>
        </w:rPr>
        <w:fldChar w:fldCharType="begin"/>
      </w:r>
      <w:r>
        <w:rPr>
          <w:noProof/>
          <w:webHidden/>
        </w:rPr>
        <w:instrText xml:space="preserve"> PAGEREF _Toc47477387 \h </w:instrText>
      </w:r>
      <w:r>
        <w:rPr>
          <w:noProof/>
          <w:webHidden/>
        </w:rPr>
        <w:fldChar w:fldCharType="separate"/>
      </w:r>
      <w:r>
        <w:rPr>
          <w:noProof/>
          <w:webHidden/>
        </w:rPr>
        <w:t>8</w:t>
      </w:r>
      <w:r>
        <w:rPr>
          <w:noProof/>
          <w:webHidden/>
        </w:rPr>
        <w:fldChar w:fldCharType="end"/>
      </w:r>
      <w:r>
        <w:rPr/>
        <w:fldChar w:fldCharType="end"/>
      </w:r>
    </w:p>
    <w:p>
      <w:pPr>
        <w:pStyle w:val="style19"/>
        <w:rPr>
          <w:rFonts w:eastAsia="宋体"/>
          <w:noProof/>
          <w:lang w:eastAsia="es-CO"/>
        </w:rPr>
      </w:pPr>
      <w:r>
        <w:rPr/>
        <w:fldChar w:fldCharType="begin"/>
      </w:r>
      <w:r>
        <w:instrText xml:space="preserve"> HYPERLINK \l "_Toc47477388" </w:instrText>
      </w:r>
      <w:r>
        <w:rPr/>
        <w:fldChar w:fldCharType="separate"/>
      </w:r>
      <w:r>
        <w:rPr>
          <w:rStyle w:val="style85"/>
          <w:rFonts w:ascii="Arial" w:cs="Arial" w:hAnsi="Arial"/>
          <w:noProof/>
        </w:rPr>
        <w:t>DIAGNOSTICO POR COMPONENETES DE INVERSIÓN</w:t>
      </w:r>
      <w:r>
        <w:rPr>
          <w:noProof/>
          <w:webHidden/>
        </w:rPr>
        <w:tab/>
      </w:r>
      <w:r>
        <w:rPr>
          <w:noProof/>
          <w:webHidden/>
        </w:rPr>
        <w:fldChar w:fldCharType="begin"/>
      </w:r>
      <w:r>
        <w:rPr>
          <w:noProof/>
          <w:webHidden/>
        </w:rPr>
        <w:instrText xml:space="preserve"> PAGEREF _Toc47477388 \h </w:instrText>
      </w:r>
      <w:r>
        <w:rPr>
          <w:noProof/>
          <w:webHidden/>
        </w:rPr>
        <w:fldChar w:fldCharType="separate"/>
      </w:r>
      <w:r>
        <w:rPr>
          <w:noProof/>
          <w:webHidden/>
        </w:rPr>
        <w:t>12</w:t>
      </w:r>
      <w:r>
        <w:rPr>
          <w:noProof/>
          <w:webHidden/>
        </w:rPr>
        <w:fldChar w:fldCharType="end"/>
      </w:r>
      <w:r>
        <w:rPr/>
        <w:fldChar w:fldCharType="end"/>
      </w:r>
    </w:p>
    <w:p>
      <w:pPr>
        <w:pStyle w:val="style20"/>
        <w:tabs>
          <w:tab w:val="right" w:leader="dot" w:pos="8828"/>
        </w:tabs>
        <w:rPr>
          <w:rFonts w:eastAsia="宋体"/>
          <w:noProof/>
          <w:lang w:eastAsia="es-CO"/>
        </w:rPr>
      </w:pPr>
      <w:r>
        <w:rPr/>
        <w:fldChar w:fldCharType="begin"/>
      </w:r>
      <w:r>
        <w:instrText xml:space="preserve"> HYPERLINK \l "_Toc47477389" </w:instrText>
      </w:r>
      <w:r>
        <w:rPr/>
        <w:fldChar w:fldCharType="separate"/>
      </w:r>
      <w:r>
        <w:rPr>
          <w:rStyle w:val="style85"/>
          <w:rFonts w:ascii="Arial" w:cs="Arial" w:hAnsi="Arial"/>
          <w:noProof/>
          <w:lang w:val="es-MX"/>
        </w:rPr>
        <w:t>COMPONENTE INFLEXIBLE DE INVERSIÓN</w:t>
      </w:r>
      <w:r>
        <w:rPr>
          <w:noProof/>
          <w:webHidden/>
        </w:rPr>
        <w:tab/>
      </w:r>
      <w:r>
        <w:rPr>
          <w:noProof/>
          <w:webHidden/>
        </w:rPr>
        <w:fldChar w:fldCharType="begin"/>
      </w:r>
      <w:r>
        <w:rPr>
          <w:noProof/>
          <w:webHidden/>
        </w:rPr>
        <w:instrText xml:space="preserve"> PAGEREF _Toc47477389 \h </w:instrText>
      </w:r>
      <w:r>
        <w:rPr>
          <w:noProof/>
          <w:webHidden/>
        </w:rPr>
        <w:fldChar w:fldCharType="separate"/>
      </w:r>
      <w:r>
        <w:rPr>
          <w:noProof/>
          <w:webHidden/>
        </w:rPr>
        <w:t>12</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"_Toc47477390" </w:instrText>
      </w:r>
      <w:r>
        <w:rPr/>
        <w:fldChar w:fldCharType="separate"/>
      </w:r>
      <w:r>
        <w:rPr>
          <w:rStyle w:val="style85"/>
          <w:rFonts w:ascii="Arial" w:cs="Arial" w:hAnsi="Arial"/>
          <w:noProof/>
          <w:lang w:val="es-MX"/>
        </w:rPr>
        <w:t>FORTALECIMIENTO INSTITUCIONAL</w:t>
      </w:r>
      <w:r>
        <w:rPr>
          <w:noProof/>
          <w:webHidden/>
        </w:rPr>
        <w:tab/>
      </w:r>
      <w:r>
        <w:rPr>
          <w:noProof/>
          <w:webHidden/>
        </w:rPr>
        <w:fldChar w:fldCharType="begin"/>
      </w:r>
      <w:r>
        <w:rPr>
          <w:noProof/>
          <w:webHidden/>
        </w:rPr>
        <w:instrText xml:space="preserve"> PAGEREF _Toc47477390 \h </w:instrText>
      </w:r>
      <w:r>
        <w:rPr>
          <w:noProof/>
          <w:webHidden/>
        </w:rPr>
        <w:fldChar w:fldCharType="separate"/>
      </w:r>
      <w:r>
        <w:rPr>
          <w:noProof/>
          <w:webHidden/>
        </w:rPr>
        <w:t>12</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"_Toc47477391" </w:instrText>
      </w:r>
      <w:r>
        <w:rPr/>
        <w:fldChar w:fldCharType="separate"/>
      </w:r>
      <w:r>
        <w:rPr>
          <w:rStyle w:val="style85"/>
          <w:rFonts w:ascii="Arial" w:cs="Arial" w:hAnsi="Arial"/>
          <w:noProof/>
          <w:lang w:val="es-MX"/>
        </w:rPr>
        <w:t>INSPECCIÓN VIGILANCIA Y CONTROL</w:t>
      </w:r>
      <w:r>
        <w:rPr>
          <w:noProof/>
          <w:webHidden/>
        </w:rPr>
        <w:tab/>
      </w:r>
      <w:r>
        <w:rPr>
          <w:noProof/>
          <w:webHidden/>
        </w:rPr>
        <w:fldChar w:fldCharType="begin"/>
      </w:r>
      <w:r>
        <w:rPr>
          <w:noProof/>
          <w:webHidden/>
        </w:rPr>
        <w:instrText xml:space="preserve"> PAGEREF _Toc47477391 \h </w:instrText>
      </w:r>
      <w:r>
        <w:rPr>
          <w:noProof/>
          <w:webHidden/>
        </w:rPr>
        <w:fldChar w:fldCharType="separate"/>
      </w:r>
      <w:r>
        <w:rPr>
          <w:noProof/>
          <w:webHidden/>
        </w:rPr>
        <w:t>21</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"_Toc47477392" </w:instrText>
      </w:r>
      <w:r>
        <w:rPr/>
        <w:fldChar w:fldCharType="separate"/>
      </w:r>
      <w:r>
        <w:rPr>
          <w:rStyle w:val="style85"/>
          <w:rFonts w:ascii="Arial" w:cs="Arial" w:hAnsi="Arial"/>
          <w:noProof/>
          <w:lang w:val="es-MX"/>
        </w:rPr>
        <w:t>SUBSIDIO TIPO</w:t>
      </w:r>
      <w:r>
        <w:rPr>
          <w:noProof/>
          <w:webHidden/>
        </w:rPr>
        <w:tab/>
      </w:r>
      <w:r>
        <w:rPr>
          <w:noProof/>
          <w:webHidden/>
        </w:rPr>
        <w:fldChar w:fldCharType="begin"/>
      </w:r>
      <w:r>
        <w:rPr>
          <w:noProof/>
          <w:webHidden/>
        </w:rPr>
        <w:instrText xml:space="preserve"> PAGEREF _Toc47477392 \h </w:instrText>
      </w:r>
      <w:r>
        <w:rPr>
          <w:noProof/>
          <w:webHidden/>
        </w:rPr>
        <w:fldChar w:fldCharType="separate"/>
      </w:r>
      <w:r>
        <w:rPr>
          <w:noProof/>
          <w:webHidden/>
        </w:rPr>
        <w:t>23</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"_Toc47477393" </w:instrText>
      </w:r>
      <w:r>
        <w:rPr/>
        <w:fldChar w:fldCharType="separate"/>
      </w:r>
      <w:r>
        <w:rPr>
          <w:rStyle w:val="style85"/>
          <w:rFonts w:ascii="Arial" w:cs="Arial" w:eastAsia="Times New Roman" w:hAnsi="Arial"/>
          <w:noProof/>
          <w:lang w:val="es-MX"/>
        </w:rPr>
        <w:t>EDUCACIÓN.</w:t>
      </w:r>
      <w:r>
        <w:rPr>
          <w:noProof/>
          <w:webHidden/>
        </w:rPr>
        <w:tab/>
      </w:r>
      <w:r>
        <w:rPr>
          <w:noProof/>
          <w:webHidden/>
        </w:rPr>
        <w:fldChar w:fldCharType="begin"/>
      </w:r>
      <w:r>
        <w:rPr>
          <w:noProof/>
          <w:webHidden/>
        </w:rPr>
        <w:instrText xml:space="preserve"> PAGEREF _Toc47477393 \h </w:instrText>
      </w:r>
      <w:r>
        <w:rPr>
          <w:noProof/>
          <w:webHidden/>
        </w:rPr>
        <w:fldChar w:fldCharType="separate"/>
      </w:r>
      <w:r>
        <w:rPr>
          <w:noProof/>
          <w:webHidden/>
        </w:rPr>
        <w:t>24</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"_Toc47477394" </w:instrText>
      </w:r>
      <w:r>
        <w:rPr/>
        <w:fldChar w:fldCharType="separate"/>
      </w:r>
      <w:r>
        <w:rPr>
          <w:rStyle w:val="style85"/>
          <w:rFonts w:ascii="Arial" w:cs="Arial" w:hAnsi="Arial"/>
          <w:noProof/>
          <w:lang w:val="es-MX"/>
        </w:rPr>
        <w:t>SUBSIDIO TIPO C</w:t>
      </w:r>
      <w:r>
        <w:rPr>
          <w:noProof/>
          <w:webHidden/>
        </w:rPr>
        <w:tab/>
      </w:r>
      <w:r>
        <w:rPr>
          <w:noProof/>
          <w:webHidden/>
        </w:rPr>
        <w:fldChar w:fldCharType="begin"/>
      </w:r>
      <w:r>
        <w:rPr>
          <w:noProof/>
          <w:webHidden/>
        </w:rPr>
        <w:instrText xml:space="preserve"> PAGEREF _Toc47477394 \h </w:instrText>
      </w:r>
      <w:r>
        <w:rPr>
          <w:noProof/>
          <w:webHidden/>
        </w:rPr>
        <w:fldChar w:fldCharType="separate"/>
      </w:r>
      <w:r>
        <w:rPr>
          <w:noProof/>
          <w:webHidden/>
        </w:rPr>
        <w:t>27</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"_Toc47477395" </w:instrText>
      </w:r>
      <w:r>
        <w:rPr/>
        <w:fldChar w:fldCharType="separate"/>
      </w:r>
      <w:r>
        <w:rPr>
          <w:rStyle w:val="style85"/>
          <w:rFonts w:ascii="Arial" w:cs="Arial" w:eastAsia="Times New Roman" w:hAnsi="Arial"/>
          <w:noProof/>
          <w:lang w:val="es-MX"/>
        </w:rPr>
        <w:t>EDUCACIÓN.</w:t>
      </w:r>
      <w:r>
        <w:rPr>
          <w:noProof/>
          <w:webHidden/>
        </w:rPr>
        <w:tab/>
      </w:r>
      <w:r>
        <w:rPr>
          <w:noProof/>
          <w:webHidden/>
        </w:rPr>
        <w:fldChar w:fldCharType="begin"/>
      </w:r>
      <w:r>
        <w:rPr>
          <w:noProof/>
          <w:webHidden/>
        </w:rPr>
        <w:instrText xml:space="preserve"> PAGEREF _Toc47477395 \h </w:instrText>
      </w:r>
      <w:r>
        <w:rPr>
          <w:noProof/>
          <w:webHidden/>
        </w:rPr>
        <w:fldChar w:fldCharType="separate"/>
      </w:r>
      <w:r>
        <w:rPr>
          <w:noProof/>
          <w:webHidden/>
        </w:rPr>
        <w:t>28</w:t>
      </w:r>
      <w:r>
        <w:rPr>
          <w:noProof/>
          <w:webHidden/>
        </w:rPr>
        <w:fldChar w:fldCharType="end"/>
      </w:r>
      <w:r>
        <w:rPr/>
        <w:fldChar w:fldCharType="end"/>
      </w:r>
    </w:p>
    <w:p>
      <w:pPr>
        <w:pStyle w:val="style20"/>
        <w:tabs>
          <w:tab w:val="right" w:leader="dot" w:pos="8828"/>
        </w:tabs>
        <w:rPr>
          <w:rFonts w:eastAsia="宋体"/>
          <w:noProof/>
          <w:lang w:eastAsia="es-CO"/>
        </w:rPr>
      </w:pPr>
      <w:r>
        <w:rPr/>
        <w:fldChar w:fldCharType="begin"/>
      </w:r>
      <w:r>
        <w:instrText xml:space="preserve"> HYPERLINK \l "_Toc47477396" </w:instrText>
      </w:r>
      <w:r>
        <w:rPr/>
        <w:fldChar w:fldCharType="separate"/>
      </w:r>
      <w:r>
        <w:rPr>
          <w:rStyle w:val="style85"/>
          <w:rFonts w:ascii="Arial" w:cs="Arial" w:hAnsi="Arial"/>
          <w:noProof/>
        </w:rPr>
        <w:t>COMPONENTE PARTICIPATIVO DE INVERSIÓN:</w:t>
      </w:r>
      <w:r>
        <w:rPr>
          <w:noProof/>
          <w:webHidden/>
        </w:rPr>
        <w:tab/>
      </w:r>
      <w:r>
        <w:rPr>
          <w:noProof/>
          <w:webHidden/>
        </w:rPr>
        <w:fldChar w:fldCharType="begin"/>
      </w:r>
      <w:r>
        <w:rPr>
          <w:noProof/>
          <w:webHidden/>
        </w:rPr>
        <w:instrText xml:space="preserve"> PAGEREF _Toc47477396 \h </w:instrText>
      </w:r>
      <w:r>
        <w:rPr>
          <w:noProof/>
          <w:webHidden/>
        </w:rPr>
        <w:fldChar w:fldCharType="separate"/>
      </w:r>
      <w:r>
        <w:rPr>
          <w:noProof/>
          <w:webHidden/>
        </w:rPr>
        <w:t>31</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"_Toc47477397" </w:instrText>
      </w:r>
      <w:r>
        <w:rPr/>
        <w:fldChar w:fldCharType="separate"/>
      </w:r>
      <w:r>
        <w:rPr>
          <w:rStyle w:val="style85"/>
          <w:rFonts w:ascii="Arial" w:cs="Arial" w:hAnsi="Arial"/>
          <w:noProof/>
        </w:rPr>
        <w:t>DESARROLLO SOCIAL Y CUTURAL</w:t>
      </w:r>
      <w:r>
        <w:rPr>
          <w:noProof/>
          <w:webHidden/>
        </w:rPr>
        <w:tab/>
      </w:r>
      <w:r>
        <w:rPr>
          <w:noProof/>
          <w:webHidden/>
        </w:rPr>
        <w:fldChar w:fldCharType="begin"/>
      </w:r>
      <w:r>
        <w:rPr>
          <w:noProof/>
          <w:webHidden/>
        </w:rPr>
        <w:instrText xml:space="preserve"> PAGEREF _Toc47477397 \h </w:instrText>
      </w:r>
      <w:r>
        <w:rPr>
          <w:noProof/>
          <w:webHidden/>
        </w:rPr>
        <w:fldChar w:fldCharType="separate"/>
      </w:r>
      <w:r>
        <w:rPr>
          <w:noProof/>
          <w:webHidden/>
        </w:rPr>
        <w:t>31</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"_Toc47477398" </w:instrText>
      </w:r>
      <w:r>
        <w:rPr/>
        <w:fldChar w:fldCharType="separate"/>
      </w:r>
      <w:r>
        <w:rPr>
          <w:rStyle w:val="style85"/>
          <w:rFonts w:ascii="Arial" w:cs="Arial" w:eastAsia="Times New Roman" w:hAnsi="Arial"/>
          <w:noProof/>
          <w:lang w:val="es-MX"/>
        </w:rPr>
        <w:t>INFRAESTRUCTURA:</w:t>
      </w:r>
      <w:r>
        <w:rPr>
          <w:noProof/>
          <w:webHidden/>
        </w:rPr>
        <w:tab/>
      </w:r>
      <w:r>
        <w:rPr>
          <w:noProof/>
          <w:webHidden/>
        </w:rPr>
        <w:fldChar w:fldCharType="begin"/>
      </w:r>
      <w:r>
        <w:rPr>
          <w:noProof/>
          <w:webHidden/>
        </w:rPr>
        <w:instrText xml:space="preserve"> PAGEREF _Toc47477398 \h </w:instrText>
      </w:r>
      <w:r>
        <w:rPr>
          <w:noProof/>
          <w:webHidden/>
        </w:rPr>
        <w:fldChar w:fldCharType="separate"/>
      </w:r>
      <w:r>
        <w:rPr>
          <w:noProof/>
          <w:webHidden/>
        </w:rPr>
        <w:t>44</w:t>
      </w:r>
      <w:r>
        <w:rPr>
          <w:noProof/>
          <w:webHidden/>
        </w:rPr>
        <w:fldChar w:fldCharType="end"/>
      </w:r>
      <w:r>
        <w:rPr/>
        <w:fldChar w:fldCharType="end"/>
      </w:r>
    </w:p>
    <w:p>
      <w:pPr>
        <w:pStyle w:val="style21"/>
        <w:tabs>
          <w:tab w:val="right" w:leader="dot" w:pos="8828"/>
        </w:tabs>
        <w:rPr>
          <w:rFonts w:eastAsia="宋体"/>
          <w:noProof/>
          <w:lang w:eastAsia="es-CO"/>
        </w:rPr>
      </w:pPr>
      <w:r>
        <w:rPr/>
        <w:fldChar w:fldCharType="begin"/>
      </w:r>
      <w:r>
        <w:instrText xml:space="preserve"> HYPERLINK \l "_Toc47477399" </w:instrText>
      </w:r>
      <w:r>
        <w:rPr/>
        <w:fldChar w:fldCharType="separate"/>
      </w:r>
      <w:r>
        <w:rPr>
          <w:rStyle w:val="style85"/>
          <w:rFonts w:ascii="Arial" w:cs="Arial" w:eastAsia="Times New Roman" w:hAnsi="Arial"/>
          <w:noProof/>
          <w:lang w:val="es-MX"/>
        </w:rPr>
        <w:t>INVERSIONES AMBIENTALES SOSTENIBLES</w:t>
      </w:r>
      <w:r>
        <w:rPr>
          <w:noProof/>
          <w:webHidden/>
        </w:rPr>
        <w:tab/>
      </w:r>
      <w:r>
        <w:rPr>
          <w:noProof/>
          <w:webHidden/>
        </w:rPr>
        <w:fldChar w:fldCharType="begin"/>
      </w:r>
      <w:r>
        <w:rPr>
          <w:noProof/>
          <w:webHidden/>
        </w:rPr>
        <w:instrText xml:space="preserve"> PAGEREF _Toc47477399 \h </w:instrText>
      </w:r>
      <w:r>
        <w:rPr>
          <w:noProof/>
          <w:webHidden/>
        </w:rPr>
        <w:fldChar w:fldCharType="separate"/>
      </w:r>
      <w:r>
        <w:rPr>
          <w:noProof/>
          <w:webHidden/>
        </w:rPr>
        <w:t>48</w:t>
      </w:r>
      <w:r>
        <w:rPr>
          <w:noProof/>
          <w:webHidden/>
        </w:rPr>
        <w:fldChar w:fldCharType="end"/>
      </w:r>
      <w:r>
        <w:rPr/>
        <w:fldChar w:fldCharType="end"/>
      </w:r>
    </w:p>
    <w:p>
      <w:pPr>
        <w:pStyle w:val="style20"/>
        <w:tabs>
          <w:tab w:val="right" w:leader="dot" w:pos="8828"/>
        </w:tabs>
        <w:rPr>
          <w:rFonts w:eastAsia="宋体"/>
          <w:noProof/>
          <w:lang w:eastAsia="es-CO"/>
        </w:rPr>
      </w:pPr>
      <w:r>
        <w:rPr/>
        <w:fldChar w:fldCharType="begin"/>
      </w:r>
      <w:r>
        <w:instrText xml:space="preserve"> HYPERLINK \l "_Toc47477400" </w:instrText>
      </w:r>
      <w:r>
        <w:rPr/>
        <w:fldChar w:fldCharType="separate"/>
      </w:r>
      <w:r>
        <w:rPr>
          <w:rStyle w:val="style85"/>
          <w:rFonts w:ascii="Arial" w:cs="Arial" w:hAnsi="Arial"/>
          <w:noProof/>
          <w:lang w:val="es-MX"/>
        </w:rPr>
        <w:t>DESARROLLO E LA ECONOMÍA LOCAL</w:t>
      </w:r>
      <w:r>
        <w:rPr>
          <w:noProof/>
          <w:webHidden/>
        </w:rPr>
        <w:tab/>
      </w:r>
      <w:r>
        <w:rPr>
          <w:noProof/>
          <w:webHidden/>
        </w:rPr>
        <w:fldChar w:fldCharType="begin"/>
      </w:r>
      <w:r>
        <w:rPr>
          <w:noProof/>
          <w:webHidden/>
        </w:rPr>
        <w:instrText xml:space="preserve"> PAGEREF _Toc47477400 \h </w:instrText>
      </w:r>
      <w:r>
        <w:rPr>
          <w:noProof/>
          <w:webHidden/>
        </w:rPr>
        <w:fldChar w:fldCharType="separate"/>
      </w:r>
      <w:r>
        <w:rPr>
          <w:noProof/>
          <w:webHidden/>
        </w:rPr>
        <w:t>51</w:t>
      </w:r>
      <w:r>
        <w:rPr>
          <w:noProof/>
          <w:webHidden/>
        </w:rPr>
        <w:fldChar w:fldCharType="end"/>
      </w:r>
      <w:r>
        <w:rPr/>
        <w:fldChar w:fldCharType="end"/>
      </w:r>
    </w:p>
    <w:p>
      <w:pPr>
        <w:pStyle w:val="style20"/>
        <w:tabs>
          <w:tab w:val="right" w:leader="dot" w:pos="8828"/>
        </w:tabs>
        <w:rPr>
          <w:rFonts w:eastAsia="宋体"/>
          <w:noProof/>
          <w:lang w:eastAsia="es-CO"/>
        </w:rPr>
      </w:pPr>
      <w:r>
        <w:rPr/>
        <w:fldChar w:fldCharType="begin"/>
      </w:r>
      <w:r>
        <w:instrText xml:space="preserve"> HYPERLINK \l "_Toc47477401" </w:instrText>
      </w:r>
      <w:r>
        <w:rPr/>
        <w:fldChar w:fldCharType="separate"/>
      </w:r>
      <w:r>
        <w:rPr>
          <w:rStyle w:val="style85"/>
          <w:rFonts w:ascii="Arial" w:cs="Arial" w:hAnsi="Arial"/>
          <w:noProof/>
          <w:lang w:val="es-MX"/>
        </w:rPr>
        <w:t>COMPONENTE FLEXIBLE DE INVERSIÓN</w:t>
      </w:r>
      <w:r>
        <w:rPr>
          <w:noProof/>
          <w:webHidden/>
        </w:rPr>
        <w:tab/>
      </w:r>
      <w:r>
        <w:rPr>
          <w:noProof/>
          <w:webHidden/>
        </w:rPr>
        <w:fldChar w:fldCharType="begin"/>
      </w:r>
      <w:r>
        <w:rPr>
          <w:noProof/>
          <w:webHidden/>
        </w:rPr>
        <w:instrText xml:space="preserve"> PAGEREF _Toc47477401 \h </w:instrText>
      </w:r>
      <w:r>
        <w:rPr>
          <w:noProof/>
          <w:webHidden/>
        </w:rPr>
        <w:fldChar w:fldCharType="separate"/>
      </w:r>
      <w:r>
        <w:rPr>
          <w:noProof/>
          <w:webHidden/>
        </w:rPr>
        <w:t>52</w:t>
      </w:r>
      <w:r>
        <w:rPr>
          <w:noProof/>
          <w:webHidden/>
        </w:rPr>
        <w:fldChar w:fldCharType="end"/>
      </w:r>
      <w:r>
        <w:rPr/>
        <w:fldChar w:fldCharType="end"/>
      </w:r>
    </w:p>
    <w:p>
      <w:pPr>
        <w:pStyle w:val="style0"/>
        <w:jc w:val="both"/>
        <w:rPr>
          <w:rFonts w:ascii="Arial" w:cs="Arial" w:hAnsi="Arial"/>
        </w:rPr>
      </w:pPr>
      <w:r>
        <w:rPr>
          <w:rFonts w:ascii="Arial" w:cs="Arial" w:hAnsi="Arial"/>
          <w:b/>
          <w:bCs/>
          <w:lang w:val="es-ES"/>
        </w:rPr>
        <w:fldChar w:fldCharType="end"/>
      </w:r>
    </w:p>
    <w:p>
      <w:pPr>
        <w:pStyle w:val="style0"/>
        <w:spacing w:after="0" w:lineRule="auto" w:line="240"/>
        <w:jc w:val="both"/>
        <w:rPr>
          <w:rFonts w:ascii="Arial" w:cs="Arial" w:eastAsia="Times New Roman" w:hAnsi="Arial"/>
          <w:lang w:val="es-MX"/>
        </w:rPr>
      </w:pPr>
    </w:p>
    <w:p>
      <w:pPr>
        <w:pStyle w:val="style0"/>
        <w:jc w:val="both"/>
        <w:rPr>
          <w:rFonts w:ascii="Arial" w:cs="Arial" w:eastAsia="Times New Roman" w:hAnsi="Arial"/>
          <w:lang w:val="es-MX"/>
        </w:rPr>
      </w:pPr>
    </w:p>
    <w:p>
      <w:pPr>
        <w:pStyle w:val="style0"/>
        <w:tabs>
          <w:tab w:val="left" w:leader="none" w:pos="3253"/>
        </w:tabs>
        <w:jc w:val="both"/>
        <w:rPr>
          <w:rFonts w:ascii="Arial" w:cs="Arial" w:eastAsia="Times New Roman" w:hAnsi="Arial"/>
          <w:lang w:val="es-MX"/>
        </w:rPr>
      </w:pPr>
      <w:r>
        <w:rPr>
          <w:rFonts w:ascii="Arial" w:cs="Arial" w:eastAsia="Times New Roman" w:hAnsi="Arial"/>
          <w:lang w:val="es-MX"/>
        </w:rPr>
        <w:tab/>
      </w:r>
    </w:p>
    <w:p>
      <w:pPr>
        <w:pStyle w:val="style0"/>
        <w:tabs>
          <w:tab w:val="left" w:leader="none" w:pos="3253"/>
        </w:tabs>
        <w:jc w:val="both"/>
        <w:rPr>
          <w:rFonts w:ascii="Arial" w:cs="Arial" w:eastAsia="Times New Roman" w:hAnsi="Arial"/>
          <w:lang w:val="es-MX"/>
        </w:rPr>
        <w:sectPr>
          <w:headerReference w:type="default" r:id="rId2"/>
          <w:footerReference w:type="default" r:id="rId3"/>
          <w:pgSz w:w="12240" w:h="15840" w:orient="portrait"/>
          <w:pgMar w:top="1417" w:right="1701" w:bottom="1417" w:left="1701" w:header="705" w:footer="0" w:gutter="0"/>
          <w:pgNumType w:start="1"/>
          <w:cols w:space="708"/>
          <w:docGrid w:linePitch="360"/>
        </w:sectPr>
      </w:pPr>
      <w:r>
        <w:rPr>
          <w:rFonts w:ascii="Arial" w:cs="Arial" w:eastAsia="Times New Roman" w:hAnsi="Arial"/>
          <w:lang w:val="es-MX"/>
        </w:rPr>
        <w:tab/>
      </w:r>
    </w:p>
    <w:bookmarkStart w:id="0" w:name="_Toc47364969"/>
    <w:bookmarkStart w:id="1" w:name="_Toc47477382"/>
    <w:p>
      <w:pPr>
        <w:pStyle w:val="style2"/>
        <w:rPr>
          <w:rFonts w:ascii="Arial" w:cs="Arial" w:hAnsi="Arial"/>
          <w:color w:val="auto"/>
          <w:sz w:val="22"/>
          <w:szCs w:val="22"/>
          <w:lang w:val="es-MX"/>
        </w:rPr>
      </w:pPr>
      <w:r>
        <w:rPr>
          <w:rFonts w:ascii="Arial" w:cs="Arial" w:hAnsi="Arial"/>
          <w:color w:val="auto"/>
          <w:sz w:val="22"/>
          <w:szCs w:val="22"/>
          <w:lang w:val="es-MX"/>
        </w:rPr>
        <w:t>RESEÑA HISTORICA</w:t>
      </w:r>
      <w:bookmarkEnd w:id="0"/>
      <w:bookmarkEnd w:id="1"/>
      <w:r>
        <w:rPr>
          <w:rFonts w:ascii="Arial" w:cs="Arial" w:hAnsi="Arial"/>
          <w:color w:val="auto"/>
          <w:sz w:val="22"/>
          <w:szCs w:val="22"/>
          <w:lang w:val="es-MX"/>
        </w:rPr>
        <w:t xml:space="preserve"> </w:t>
      </w:r>
    </w:p>
    <w:p>
      <w:pPr>
        <w:pStyle w:val="style0"/>
        <w:rPr>
          <w:lang w:val="es-MX"/>
        </w:rPr>
      </w:pPr>
    </w:p>
    <w:p>
      <w:pPr>
        <w:pStyle w:val="style0"/>
        <w:jc w:val="both"/>
        <w:rPr>
          <w:rFonts w:ascii="Arial" w:cs="Arial" w:hAnsi="Arial"/>
        </w:rPr>
      </w:pPr>
      <w:r>
        <w:rPr>
          <w:rFonts w:ascii="Arial" w:cs="Arial" w:hAnsi="Arial"/>
        </w:rPr>
        <w:t xml:space="preserve">La localidad de la Candelaria ha presentado diferentes cambios desde el periodo prehispánico, </w:t>
      </w:r>
      <w:r>
        <w:rPr>
          <w:rFonts w:ascii="Arial" w:cs="Arial" w:hAnsi="Arial"/>
        </w:rPr>
        <w:t>cuando</w:t>
      </w:r>
      <w:r>
        <w:rPr>
          <w:rFonts w:ascii="Arial" w:cs="Arial" w:hAnsi="Arial"/>
        </w:rPr>
        <w:t xml:space="preserve"> la </w:t>
      </w:r>
      <w:r>
        <w:rPr>
          <w:rFonts w:ascii="Arial" w:cs="Arial" w:hAnsi="Arial"/>
        </w:rPr>
        <w:t>S</w:t>
      </w:r>
      <w:r>
        <w:rPr>
          <w:rFonts w:ascii="Arial" w:cs="Arial" w:hAnsi="Arial"/>
        </w:rPr>
        <w:t xml:space="preserve">abana de Bogotá era habitada por muiscas, quienes constituían un grupo de pobladores nativos organizados en asentamientos dispersos. El Zipa o jefe de los grupos residía en Bacatá, cerca de los cerros de Monserrate, Guadalupe, y de los ríos San Francisco y San Agustín*. </w:t>
      </w:r>
    </w:p>
    <w:p>
      <w:pPr>
        <w:pStyle w:val="style0"/>
        <w:jc w:val="both"/>
        <w:rPr>
          <w:rFonts w:ascii="Arial" w:cs="Arial" w:hAnsi="Arial"/>
        </w:rPr>
      </w:pPr>
      <w:r>
        <w:rPr>
          <w:rFonts w:ascii="Arial" w:cs="Arial" w:hAnsi="Arial"/>
        </w:rPr>
        <w:t>En 1538 un grupo de 880 hombres dirigidos por Gonzalo de Quesada y enviados por Fernández de Lugo, gobernador de Santa Marta, en busca de un camino que los condujera hacia Perú, entusiasmados por el comercio de sal existente entre los nativos, cambiaron su rumbo y se adentraron en la Sabana de Bogotá, en cuyo centro oriental, bañada por los ríos Viracachá y Manzanares, llamados posteriormente San Agustín y San Francisco, encontraron un importante poblado Muisca llamado Bacatá</w:t>
      </w:r>
      <w:r>
        <w:rPr>
          <w:rFonts w:ascii="Arial" w:cs="Arial" w:hAnsi="Arial"/>
        </w:rPr>
        <w:t xml:space="preserve">. El primer asentamiento </w:t>
      </w:r>
      <w:r>
        <w:rPr>
          <w:rFonts w:ascii="Arial" w:cs="Arial" w:hAnsi="Arial"/>
        </w:rPr>
        <w:t>se realizó en la llamada plaza del Chorro de Quevedo</w:t>
      </w:r>
      <w:r>
        <w:rPr>
          <w:rFonts w:ascii="Arial" w:cs="Arial" w:hAnsi="Arial"/>
        </w:rPr>
        <w:t>,</w:t>
      </w:r>
      <w:r>
        <w:rPr>
          <w:rFonts w:ascii="Arial" w:cs="Arial" w:hAnsi="Arial"/>
        </w:rPr>
        <w:t xml:space="preserve"> actualmente cruce de la calle trece con carrera segunda 2ª.   </w:t>
      </w:r>
    </w:p>
    <w:p>
      <w:pPr>
        <w:pStyle w:val="style157"/>
        <w:jc w:val="both"/>
        <w:rPr>
          <w:rFonts w:ascii="Arial" w:cs="Arial" w:eastAsia="Calibri" w:hAnsi="Arial"/>
        </w:rPr>
      </w:pPr>
      <w:r>
        <w:rPr>
          <w:rFonts w:ascii="Arial" w:cs="Arial" w:eastAsia="Calibri" w:hAnsi="Arial"/>
          <w:lang w:eastAsia="en-US"/>
        </w:rPr>
        <w:t>Durante</w:t>
      </w:r>
      <w:r>
        <w:rPr>
          <w:rFonts w:ascii="Arial" w:cs="Arial" w:eastAsia="Calibri" w:hAnsi="Arial"/>
        </w:rPr>
        <w:t xml:space="preserve"> la </w:t>
      </w:r>
      <w:r>
        <w:rPr>
          <w:rFonts w:ascii="Arial" w:cs="Arial" w:eastAsia="Calibri" w:hAnsi="Arial"/>
        </w:rPr>
        <w:t>C</w:t>
      </w:r>
      <w:r>
        <w:rPr>
          <w:rFonts w:ascii="Arial" w:cs="Arial" w:eastAsia="Calibri" w:hAnsi="Arial"/>
        </w:rPr>
        <w:t xml:space="preserve">olonia se edificaron en esta localidad las principales instituciones de la corona española como la Casa de la Curia, la Real Audiencia Española, la </w:t>
      </w:r>
      <w:r>
        <w:rPr>
          <w:rFonts w:ascii="Arial" w:cs="Arial" w:eastAsia="Calibri" w:hAnsi="Arial"/>
        </w:rPr>
        <w:t>s</w:t>
      </w:r>
      <w:r>
        <w:rPr>
          <w:rFonts w:ascii="Arial" w:cs="Arial" w:eastAsia="Calibri" w:hAnsi="Arial"/>
        </w:rPr>
        <w:t>ede del Virreinato y del Cabildo. En la época de la Rep</w:t>
      </w:r>
      <w:r>
        <w:rPr>
          <w:rFonts w:ascii="Arial" w:cs="Arial" w:eastAsia="Calibri" w:hAnsi="Arial"/>
        </w:rPr>
        <w:t>ú</w:t>
      </w:r>
      <w:r>
        <w:rPr>
          <w:rFonts w:ascii="Arial" w:cs="Arial" w:eastAsia="Calibri" w:hAnsi="Arial"/>
        </w:rPr>
        <w:t xml:space="preserve">blica tuvieron sede en </w:t>
      </w:r>
      <w:r>
        <w:rPr>
          <w:rFonts w:ascii="Arial" w:cs="Arial" w:eastAsia="Calibri" w:hAnsi="Arial"/>
        </w:rPr>
        <w:t>La</w:t>
      </w:r>
      <w:r>
        <w:rPr>
          <w:rFonts w:ascii="Arial" w:cs="Arial" w:eastAsia="Calibri" w:hAnsi="Arial"/>
        </w:rPr>
        <w:t xml:space="preserve"> Candelaria el Palacio de </w:t>
      </w:r>
      <w:r>
        <w:rPr>
          <w:rFonts w:ascii="Arial" w:cs="Arial" w:eastAsia="Calibri" w:hAnsi="Arial"/>
        </w:rPr>
        <w:t>G</w:t>
      </w:r>
      <w:r>
        <w:rPr>
          <w:rFonts w:ascii="Arial" w:cs="Arial" w:eastAsia="Calibri" w:hAnsi="Arial"/>
        </w:rPr>
        <w:t xml:space="preserve">obierno y en general, todas las instituciones del Estado. Sus calles han sido epicentro de hechos destacables de la historia política </w:t>
      </w:r>
      <w:r>
        <w:rPr>
          <w:rFonts w:ascii="Arial" w:cs="Arial" w:eastAsia="Calibri" w:hAnsi="Arial"/>
        </w:rPr>
        <w:t>c</w:t>
      </w:r>
      <w:r>
        <w:rPr>
          <w:rFonts w:ascii="Arial" w:cs="Arial" w:eastAsia="Calibri" w:hAnsi="Arial"/>
        </w:rPr>
        <w:t>olombiana, como los ocurridos el 20 de julio de 1810 y el 9 de abril de 1948, en esta localidad se encuentran la</w:t>
      </w:r>
      <w:r>
        <w:rPr>
          <w:rFonts w:ascii="Arial" w:cs="Arial" w:eastAsia="Calibri" w:hAnsi="Arial"/>
        </w:rPr>
        <w:t>s</w:t>
      </w:r>
      <w:r>
        <w:rPr>
          <w:rFonts w:ascii="Arial" w:cs="Arial" w:eastAsia="Calibri" w:hAnsi="Arial"/>
        </w:rPr>
        <w:t xml:space="preserve"> edificaciones más antiguas de Bogotá como la Casa del Virrey, el Observatorio Astronómico construido por José  Celestino Mutis, el Colegio Mayor de San Bartolomé, el colegio de Nuestra Señora del Rosario, la Casa del Marqués de San Jorge, el Teatro Colón, que empezó a construirse en 1885 y se terminó 10 años ms tarde, </w:t>
      </w:r>
      <w:r>
        <w:rPr>
          <w:rFonts w:ascii="Arial" w:cs="Arial" w:eastAsia="Calibri" w:hAnsi="Arial"/>
        </w:rPr>
        <w:t>el</w:t>
      </w:r>
      <w:r>
        <w:rPr>
          <w:rFonts w:ascii="Arial" w:cs="Arial" w:eastAsia="Calibri" w:hAnsi="Arial"/>
        </w:rPr>
        <w:t xml:space="preserve"> Palacio Municipal, el Capitolio Nacional que fue construido bajo las órdenes de Tomas Cipriano de Mosquera y los </w:t>
      </w:r>
      <w:r>
        <w:rPr>
          <w:rFonts w:ascii="Arial" w:cs="Arial" w:eastAsia="Calibri" w:hAnsi="Arial"/>
        </w:rPr>
        <w:t>p</w:t>
      </w:r>
      <w:r>
        <w:rPr>
          <w:rFonts w:ascii="Arial" w:cs="Arial" w:eastAsia="Calibri" w:hAnsi="Arial"/>
        </w:rPr>
        <w:t xml:space="preserve">alacios de Nariño y San Carlos.          </w:t>
      </w:r>
    </w:p>
    <w:p>
      <w:pPr>
        <w:pStyle w:val="style157"/>
        <w:jc w:val="both"/>
        <w:rPr>
          <w:rFonts w:ascii="Arial" w:cs="Arial" w:eastAsia="Calibri" w:hAnsi="Arial"/>
        </w:rPr>
      </w:pPr>
    </w:p>
    <w:p>
      <w:pPr>
        <w:pStyle w:val="style157"/>
        <w:jc w:val="both"/>
        <w:rPr>
          <w:rFonts w:ascii="Arial" w:cs="Arial" w:eastAsia="Calibri" w:hAnsi="Arial"/>
        </w:rPr>
      </w:pPr>
      <w:r>
        <w:rPr>
          <w:rFonts w:ascii="Arial" w:cs="Arial" w:eastAsia="Calibri" w:hAnsi="Arial"/>
        </w:rPr>
        <w:t>Los recoletos de San Agustín, conocidos con el nombre de padres de Candelaria se instalaron en 1560 en el área ocupada hoy por la iglesia y el convento de San Agustín.</w:t>
      </w:r>
    </w:p>
    <w:p>
      <w:pPr>
        <w:pStyle w:val="style157"/>
        <w:jc w:val="both"/>
        <w:rPr>
          <w:rFonts w:ascii="Arial" w:cs="Arial" w:eastAsia="Calibri" w:hAnsi="Arial"/>
        </w:rPr>
      </w:pPr>
      <w:r>
        <w:rPr>
          <w:rFonts w:ascii="Arial" w:cs="Arial" w:eastAsia="Calibri" w:hAnsi="Arial"/>
        </w:rPr>
        <w:t>Su presencia en el Nuevo Reino no contó con las licencias pertinentes para establecer conventos y por decisión real se les obligó a regresar a España.</w:t>
      </w:r>
    </w:p>
    <w:p>
      <w:pPr>
        <w:pStyle w:val="style157"/>
        <w:jc w:val="both"/>
        <w:rPr>
          <w:rFonts w:ascii="Arial" w:cs="Arial" w:eastAsia="Calibri" w:hAnsi="Arial"/>
        </w:rPr>
      </w:pPr>
    </w:p>
    <w:p>
      <w:pPr>
        <w:pStyle w:val="style157"/>
        <w:jc w:val="both"/>
        <w:rPr>
          <w:rFonts w:ascii="Arial" w:cs="Arial" w:eastAsia="Calibri" w:hAnsi="Arial"/>
        </w:rPr>
      </w:pPr>
      <w:r>
        <w:rPr>
          <w:rFonts w:ascii="Arial" w:cs="Arial" w:eastAsia="Calibri" w:hAnsi="Arial"/>
        </w:rPr>
        <w:t>Casi un siglo después, en 1654, aparecen los recoletos de Candelaria tres cuadras arriba de la catedral, donde establecieron un hospicio y colegio de frailes de la orden con el nombre de Nuestra Señora de Candelaria; esta fundación, junto con la iglesia, tampoco contó con las debidas autorizaciones y por orden de la Real Audiencia fue demolida en 1681</w:t>
      </w:r>
    </w:p>
    <w:p>
      <w:pPr>
        <w:pStyle w:val="style0"/>
        <w:jc w:val="both"/>
        <w:rPr>
          <w:rFonts w:ascii="Arial" w:cs="Arial" w:hAnsi="Arial"/>
        </w:rPr>
      </w:pPr>
    </w:p>
    <w:p>
      <w:pPr>
        <w:pStyle w:val="style157"/>
        <w:jc w:val="both"/>
        <w:rPr>
          <w:rFonts w:ascii="Arial" w:cs="Arial" w:eastAsia="Calibri" w:hAnsi="Arial"/>
        </w:rPr>
      </w:pPr>
      <w:r>
        <w:rPr>
          <w:rFonts w:ascii="Arial" w:cs="Arial" w:eastAsia="Calibri" w:hAnsi="Arial"/>
        </w:rPr>
        <w:t>En 1684 los religiosos obtuvieron licencia real para reedificar su convento, como en efecto ocurrió con el apoyo económico de los vecinos solidarios con los religiosos y con siete mil pesos donados en 1736 por el arzobispado.</w:t>
      </w:r>
    </w:p>
    <w:p>
      <w:pPr>
        <w:pStyle w:val="style157"/>
        <w:jc w:val="both"/>
        <w:rPr>
          <w:rFonts w:ascii="Arial" w:cs="Arial" w:eastAsia="Calibri" w:hAnsi="Arial"/>
        </w:rPr>
      </w:pPr>
      <w:r>
        <w:rPr>
          <w:rFonts w:ascii="Arial" w:cs="Arial" w:eastAsia="Calibri" w:hAnsi="Arial"/>
        </w:rPr>
        <w:t>El celo religioso de la comunidad y la solemnidad con que revestían los oficios religiosos convocó a numerosas familias piadosas que acudieron a instalarse en sus inmediaciones y desde entonces el sector tomó el nombre de barrio Candelaria.</w:t>
      </w:r>
    </w:p>
    <w:p>
      <w:pPr>
        <w:pStyle w:val="style0"/>
        <w:jc w:val="both"/>
        <w:rPr>
          <w:rFonts w:ascii="Arial" w:cs="Arial" w:hAnsi="Arial"/>
        </w:rPr>
      </w:pPr>
    </w:p>
    <w:p>
      <w:pPr>
        <w:pStyle w:val="style157"/>
        <w:jc w:val="both"/>
        <w:rPr>
          <w:rFonts w:ascii="Arial" w:cs="Arial" w:eastAsia="Calibri" w:hAnsi="Arial"/>
        </w:rPr>
      </w:pPr>
      <w:r>
        <w:rPr>
          <w:rFonts w:ascii="Arial" w:cs="Arial" w:eastAsia="Calibri" w:hAnsi="Arial"/>
        </w:rPr>
        <w:t>Actualmente, en la esquina de la carrera cuarta con calle once se halla la iglesia de Candelaria, anexa a la sede actual de los padres candelarios.</w:t>
      </w:r>
    </w:p>
    <w:p>
      <w:pPr>
        <w:pStyle w:val="style157"/>
        <w:jc w:val="both"/>
        <w:rPr>
          <w:rFonts w:ascii="Arial" w:cs="Arial" w:eastAsia="Calibri" w:hAnsi="Arial"/>
        </w:rPr>
      </w:pPr>
    </w:p>
    <w:bookmarkStart w:id="2" w:name="_Toc47364970"/>
    <w:bookmarkStart w:id="3" w:name="_Toc47477383"/>
    <w:p>
      <w:pPr>
        <w:pStyle w:val="style157"/>
        <w:jc w:val="both"/>
        <w:outlineLvl w:val="2"/>
        <w:rPr>
          <w:rFonts w:ascii="Arial" w:cs="Arial" w:eastAsia="Calibri" w:hAnsi="Arial"/>
          <w:bCs/>
        </w:rPr>
      </w:pPr>
      <w:r>
        <w:rPr>
          <w:rFonts w:ascii="Arial" w:cs="Arial" w:eastAsia="Calibri" w:hAnsi="Arial"/>
          <w:bCs/>
        </w:rPr>
        <w:t>HISTORIA ECLESIÁSTICA</w:t>
      </w:r>
      <w:bookmarkEnd w:id="2"/>
      <w:bookmarkEnd w:id="3"/>
    </w:p>
    <w:p>
      <w:pPr>
        <w:pStyle w:val="style157"/>
        <w:jc w:val="both"/>
        <w:rPr>
          <w:rFonts w:ascii="Arial" w:cs="Arial" w:eastAsia="Calibri" w:hAnsi="Arial"/>
        </w:rPr>
      </w:pPr>
    </w:p>
    <w:p>
      <w:pPr>
        <w:pStyle w:val="style157"/>
        <w:jc w:val="both"/>
        <w:rPr>
          <w:rFonts w:ascii="Arial" w:cs="Arial" w:eastAsia="Calibri" w:hAnsi="Arial"/>
        </w:rPr>
      </w:pPr>
      <w:r>
        <w:rPr>
          <w:rFonts w:ascii="Arial" w:cs="Arial" w:eastAsia="Calibri" w:hAnsi="Arial"/>
        </w:rPr>
        <w:t>El desarrollo urbano y cultural de Bogotá, D.C., se gestó alrededor de las parroquias, capillas, ermitas y conventos, que dieron origen a los barrios y su organización civil.</w:t>
      </w:r>
    </w:p>
    <w:p>
      <w:pPr>
        <w:pStyle w:val="style157"/>
        <w:jc w:val="both"/>
        <w:rPr>
          <w:rFonts w:ascii="Arial" w:cs="Arial" w:eastAsia="Calibri" w:hAnsi="Arial"/>
        </w:rPr>
      </w:pPr>
    </w:p>
    <w:p>
      <w:pPr>
        <w:pStyle w:val="style157"/>
        <w:jc w:val="both"/>
        <w:rPr>
          <w:rFonts w:ascii="Arial" w:cs="Arial" w:eastAsia="Calibri" w:hAnsi="Arial"/>
        </w:rPr>
      </w:pPr>
      <w:r>
        <w:rPr>
          <w:rFonts w:ascii="Arial" w:cs="Arial" w:eastAsia="Calibri" w:hAnsi="Arial"/>
        </w:rPr>
        <w:t>Las parroquias como centros religiosos y educativos cumplieron un papel como agentes socializadores de los parámetros culturales y de desarrollo urbano de la sociedad colonial.</w:t>
      </w:r>
    </w:p>
    <w:p>
      <w:pPr>
        <w:pStyle w:val="style157"/>
        <w:jc w:val="both"/>
        <w:rPr>
          <w:rFonts w:ascii="Arial" w:cs="Arial" w:eastAsia="Calibri" w:hAnsi="Arial"/>
        </w:rPr>
      </w:pPr>
    </w:p>
    <w:p>
      <w:pPr>
        <w:pStyle w:val="style157"/>
        <w:jc w:val="both"/>
        <w:rPr>
          <w:rFonts w:ascii="Arial" w:cs="Arial" w:eastAsia="Calibri" w:hAnsi="Arial"/>
        </w:rPr>
      </w:pPr>
      <w:r>
        <w:rPr>
          <w:rFonts w:ascii="Arial" w:cs="Arial" w:eastAsia="Calibri" w:hAnsi="Arial"/>
        </w:rPr>
        <w:t>En 1774, la instrucción dividió la ciudad en ocho barrios y cuatro cuarteles, para establecer una organización más civil y menos eclesial.</w:t>
      </w:r>
    </w:p>
    <w:p>
      <w:pPr>
        <w:pStyle w:val="style157"/>
        <w:jc w:val="both"/>
        <w:rPr>
          <w:rFonts w:ascii="Arial" w:cs="Arial" w:eastAsia="Calibri" w:hAnsi="Arial"/>
        </w:rPr>
      </w:pPr>
    </w:p>
    <w:p>
      <w:pPr>
        <w:pStyle w:val="style157"/>
        <w:jc w:val="both"/>
        <w:rPr>
          <w:rFonts w:ascii="Arial" w:cs="Arial" w:eastAsia="Calibri" w:hAnsi="Arial"/>
        </w:rPr>
      </w:pPr>
      <w:r>
        <w:rPr>
          <w:rFonts w:ascii="Arial" w:cs="Arial" w:eastAsia="Calibri" w:hAnsi="Arial"/>
        </w:rPr>
        <w:t>El intento tuvo poco éxito pues, en 1793, las parroquias se mantenían como centros de los barrios que en su orden de aparición se reconocen así: La Catedral en 1538; Santa Bárbara en 1585; Las Nieves en 1585 y San Victorino en 1598.</w:t>
      </w:r>
    </w:p>
    <w:p>
      <w:pPr>
        <w:pStyle w:val="style157"/>
        <w:jc w:val="both"/>
        <w:rPr>
          <w:rFonts w:ascii="Arial" w:cs="Arial" w:eastAsia="Calibri" w:hAnsi="Arial"/>
        </w:rPr>
      </w:pPr>
    </w:p>
    <w:p>
      <w:pPr>
        <w:pStyle w:val="style157"/>
        <w:jc w:val="both"/>
        <w:rPr>
          <w:rFonts w:ascii="Arial" w:cs="Arial" w:eastAsia="Calibri" w:hAnsi="Arial"/>
        </w:rPr>
      </w:pPr>
      <w:r>
        <w:rPr>
          <w:rFonts w:ascii="Arial" w:cs="Arial" w:eastAsia="Calibri" w:hAnsi="Arial"/>
        </w:rPr>
        <w:t>Obras majestuosas como el convento de Santa Clara o la Catedral, constituyen testimonios de una época liderada por la religión católica en el origen y expansión de la ciudad; la catedral es el sitio de reunión de las grandes ceremonias del Distrito Capital y del país.</w:t>
      </w:r>
    </w:p>
    <w:p>
      <w:pPr>
        <w:pStyle w:val="style157"/>
        <w:jc w:val="both"/>
        <w:rPr>
          <w:rFonts w:ascii="Arial" w:cs="Arial" w:eastAsia="Calibri" w:hAnsi="Arial"/>
          <w:highlight w:val="yellow"/>
        </w:rPr>
      </w:pPr>
    </w:p>
    <w:p>
      <w:pPr>
        <w:pStyle w:val="style157"/>
        <w:jc w:val="both"/>
        <w:rPr>
          <w:rFonts w:ascii="Arial" w:cs="Arial" w:eastAsia="Calibri" w:hAnsi="Arial"/>
        </w:rPr>
      </w:pPr>
      <w:r>
        <w:rPr>
          <w:rFonts w:ascii="Arial" w:cs="Arial" w:eastAsia="Calibri" w:hAnsi="Arial"/>
        </w:rPr>
        <w:t>En La Candelaria se ubican diecisiete iglesias, algunas de las cuales continúan siendo lugar significativo y promotor de la organización comunitaria para la promoción de los valores humanos y la búsqueda de las soluciones a las necesidades de la comunidad.</w:t>
      </w:r>
    </w:p>
    <w:p>
      <w:pPr>
        <w:pStyle w:val="style157"/>
        <w:jc w:val="both"/>
        <w:rPr>
          <w:rFonts w:ascii="Arial" w:cs="Arial" w:eastAsia="Calibri" w:hAnsi="Arial"/>
          <w:highlight w:val="yellow"/>
        </w:rPr>
      </w:pPr>
    </w:p>
    <w:bookmarkStart w:id="4" w:name="_Toc47364971"/>
    <w:bookmarkStart w:id="5" w:name="_Toc47477384"/>
    <w:p>
      <w:pPr>
        <w:pStyle w:val="style157"/>
        <w:jc w:val="both"/>
        <w:outlineLvl w:val="2"/>
        <w:rPr>
          <w:rFonts w:ascii="Arial" w:cs="Arial" w:eastAsia="Calibri" w:hAnsi="Arial"/>
          <w:bCs/>
        </w:rPr>
      </w:pPr>
      <w:r>
        <w:rPr>
          <w:rFonts w:ascii="Arial" w:cs="Arial" w:eastAsia="Calibri" w:hAnsi="Arial"/>
          <w:bCs/>
        </w:rPr>
        <w:t>MARCO HISTÓRICO LEGAL</w:t>
      </w:r>
      <w:bookmarkEnd w:id="4"/>
      <w:bookmarkEnd w:id="5"/>
    </w:p>
    <w:p>
      <w:pPr>
        <w:pStyle w:val="style157"/>
        <w:jc w:val="both"/>
        <w:rPr>
          <w:rFonts w:ascii="Arial" w:cs="Arial" w:eastAsia="Calibri" w:hAnsi="Arial"/>
          <w:b/>
        </w:rPr>
      </w:pPr>
    </w:p>
    <w:p>
      <w:pPr>
        <w:pStyle w:val="style157"/>
        <w:jc w:val="both"/>
        <w:rPr>
          <w:rFonts w:ascii="Arial" w:cs="Arial" w:eastAsia="Calibri" w:hAnsi="Arial"/>
        </w:rPr>
      </w:pPr>
      <w:r>
        <w:rPr>
          <w:rFonts w:ascii="Arial" w:cs="Arial" w:eastAsia="Calibri" w:hAnsi="Arial"/>
        </w:rPr>
        <w:t xml:space="preserve">El sector más antiguo de la ciudad arribó al siglo veinte como escenario de la historia colonial. La denominación de La Candelaria se limitaba al sector vecino al convento de Candelaria, pero aún no se perfilaba como barrio y mucho menos como localidad. </w:t>
      </w:r>
    </w:p>
    <w:p>
      <w:pPr>
        <w:pStyle w:val="style157"/>
        <w:jc w:val="both"/>
        <w:rPr>
          <w:rFonts w:ascii="Arial" w:cs="Arial" w:eastAsia="Calibri" w:hAnsi="Arial"/>
          <w:b/>
        </w:rPr>
      </w:pPr>
    </w:p>
    <w:p>
      <w:pPr>
        <w:pStyle w:val="style157"/>
        <w:jc w:val="both"/>
        <w:rPr>
          <w:rFonts w:ascii="Arial" w:cs="Arial" w:eastAsia="Calibri" w:hAnsi="Arial"/>
        </w:rPr>
      </w:pPr>
      <w:r>
        <w:rPr>
          <w:rFonts w:ascii="Arial" w:cs="Arial" w:eastAsia="Calibri" w:hAnsi="Arial"/>
        </w:rPr>
        <w:t>Poco a poco, en la sociedad colombiana se fue reconociendo el nombre de La Candelaria para denominar al sector más antiguo de Bogotá, escenario testimonial de la expansión de la cultura española y de los acontecimientos independentistas que dieron origen a la nación.</w:t>
      </w:r>
    </w:p>
    <w:p>
      <w:pPr>
        <w:pStyle w:val="style157"/>
        <w:jc w:val="both"/>
        <w:rPr>
          <w:rFonts w:ascii="Arial" w:cs="Arial" w:eastAsia="Calibri" w:hAnsi="Arial"/>
        </w:rPr>
      </w:pPr>
    </w:p>
    <w:p>
      <w:pPr>
        <w:pStyle w:val="style157"/>
        <w:jc w:val="both"/>
        <w:rPr>
          <w:rFonts w:ascii="Arial" w:cs="Arial" w:eastAsia="Calibri" w:hAnsi="Arial"/>
        </w:rPr>
      </w:pPr>
      <w:r>
        <w:rPr>
          <w:rFonts w:ascii="Arial" w:cs="Arial" w:eastAsia="Calibri" w:hAnsi="Arial"/>
        </w:rPr>
        <w:t xml:space="preserve">Los llamados hacia la modernidad, difusos a partir de los años treinta, menospreciaron la arquitectura colonial e incluso destruyeron parte de </w:t>
      </w:r>
      <w:r>
        <w:rPr>
          <w:rFonts w:ascii="Arial" w:cs="Arial" w:eastAsia="Calibri" w:hAnsi="Arial"/>
        </w:rPr>
        <w:t>é</w:t>
      </w:r>
      <w:r>
        <w:rPr>
          <w:rFonts w:ascii="Arial" w:cs="Arial" w:eastAsia="Calibri" w:hAnsi="Arial"/>
        </w:rPr>
        <w:t>sta, para imponer un estilo neoclásico.</w:t>
      </w:r>
    </w:p>
    <w:p>
      <w:pPr>
        <w:pStyle w:val="style157"/>
        <w:jc w:val="both"/>
        <w:rPr>
          <w:rFonts w:ascii="Arial" w:cs="Arial" w:eastAsia="Calibri" w:hAnsi="Arial"/>
        </w:rPr>
      </w:pPr>
      <w:r>
        <w:rPr>
          <w:rFonts w:ascii="Arial" w:cs="Arial" w:eastAsia="Calibri" w:hAnsi="Arial"/>
        </w:rPr>
        <w:t>De las destrucciones del 9 de abril de 1948 emergieron sin mayores daños los sectores más tradicionales de la antigua Santa Fe como: Egipto, Santa Bárbara y La Candelaria, que para entonces se conoce como barrio.</w:t>
      </w:r>
    </w:p>
    <w:p>
      <w:pPr>
        <w:pStyle w:val="style157"/>
        <w:jc w:val="both"/>
        <w:rPr>
          <w:rFonts w:ascii="Arial" w:cs="Arial" w:eastAsia="Calibri" w:hAnsi="Arial"/>
        </w:rPr>
      </w:pPr>
    </w:p>
    <w:p>
      <w:pPr>
        <w:pStyle w:val="style157"/>
        <w:jc w:val="both"/>
        <w:rPr>
          <w:rFonts w:ascii="Arial" w:cs="Arial" w:eastAsia="Calibri" w:hAnsi="Arial"/>
        </w:rPr>
      </w:pPr>
      <w:r>
        <w:rPr>
          <w:rFonts w:ascii="Arial" w:cs="Arial" w:eastAsia="Calibri" w:hAnsi="Arial"/>
        </w:rPr>
        <w:t>En 1950, las primeras normas sobre la preservación del patrimonio urbano arquitectónico contemplan el centro histórico de Bogotá y se refieren de manera concreta al sector de La Candelaria.</w:t>
      </w:r>
    </w:p>
    <w:p>
      <w:pPr>
        <w:pStyle w:val="style157"/>
        <w:jc w:val="both"/>
        <w:rPr>
          <w:rFonts w:ascii="Arial" w:cs="Arial" w:eastAsia="Calibri" w:hAnsi="Arial"/>
        </w:rPr>
      </w:pPr>
    </w:p>
    <w:p>
      <w:pPr>
        <w:pStyle w:val="style157"/>
        <w:jc w:val="both"/>
        <w:rPr>
          <w:rFonts w:ascii="Arial" w:cs="Arial" w:eastAsia="Calibri" w:hAnsi="Arial"/>
          <w:iCs/>
        </w:rPr>
      </w:pPr>
      <w:r>
        <w:rPr>
          <w:rFonts w:ascii="Arial" w:cs="Arial" w:hAnsi="Arial"/>
          <w:iCs/>
        </w:rPr>
        <w:t xml:space="preserve">En 1960, surgió </w:t>
      </w:r>
      <w:r>
        <w:rPr>
          <w:rFonts w:ascii="Arial" w:cs="Arial" w:hAnsi="Arial"/>
          <w:iCs/>
        </w:rPr>
        <w:t>el</w:t>
      </w:r>
      <w:r>
        <w:rPr>
          <w:rFonts w:ascii="Arial" w:cs="Arial" w:hAnsi="Arial"/>
          <w:iCs/>
        </w:rPr>
        <w:t xml:space="preserve"> </w:t>
      </w:r>
      <w:r>
        <w:rPr>
          <w:rFonts w:ascii="Arial" w:cs="Arial" w:hAnsi="Arial"/>
        </w:rPr>
        <w:t>Distrito Capital y</w:t>
      </w:r>
      <w:r>
        <w:rPr>
          <w:rFonts w:ascii="Arial" w:cs="Arial" w:hAnsi="Arial"/>
        </w:rPr>
        <w:t xml:space="preserve"> se</w:t>
      </w:r>
      <w:r>
        <w:rPr>
          <w:rFonts w:ascii="Arial" w:cs="Arial" w:hAnsi="Arial"/>
        </w:rPr>
        <w:t xml:space="preserve"> constituyó a La Candelaria como localidad 17. </w:t>
      </w:r>
      <w:r>
        <w:rPr>
          <w:rFonts w:ascii="Arial" w:cs="Arial" w:hAnsi="Arial"/>
          <w:iCs/>
        </w:rPr>
        <w:t xml:space="preserve">movimiento fuerte de pensamiento político y social orientado a hacer de La Candelaria el </w:t>
      </w:r>
      <w:r>
        <w:rPr>
          <w:rFonts w:ascii="Arial" w:cs="Arial" w:eastAsia="Calibri" w:hAnsi="Arial"/>
          <w:iCs/>
        </w:rPr>
        <w:t>centro histórico cultural de la nación, sueño que se materializó con la ley 59 de 1963. Desde entonces, el vocablo Candelaria se ratificó como un sinónimo de centro histórico.</w:t>
      </w:r>
    </w:p>
    <w:p>
      <w:pPr>
        <w:pStyle w:val="style157"/>
        <w:jc w:val="both"/>
        <w:rPr>
          <w:rFonts w:ascii="Arial" w:cs="Arial" w:eastAsia="Calibri" w:hAnsi="Arial"/>
        </w:rPr>
      </w:pPr>
    </w:p>
    <w:p>
      <w:pPr>
        <w:pStyle w:val="style157"/>
        <w:jc w:val="both"/>
        <w:rPr>
          <w:rFonts w:ascii="Arial" w:cs="Arial" w:eastAsia="Calibri" w:hAnsi="Arial"/>
        </w:rPr>
      </w:pPr>
      <w:r>
        <w:rPr>
          <w:rFonts w:ascii="Arial" w:cs="Arial" w:eastAsia="Calibri" w:hAnsi="Arial"/>
        </w:rPr>
        <w:t>En los años setenta, la ciudad continuó expandiéndose notoriamente hacia el norte y la zona céntrica entró en un proceso de deterioro, abandono y demolición para ceder espacios a las construcciones de obras modernas.</w:t>
      </w:r>
    </w:p>
    <w:p>
      <w:pPr>
        <w:pStyle w:val="style157"/>
        <w:jc w:val="both"/>
        <w:rPr>
          <w:rFonts w:ascii="Arial" w:cs="Arial" w:eastAsia="Calibri" w:hAnsi="Arial"/>
        </w:rPr>
      </w:pPr>
      <w:r>
        <w:rPr>
          <w:rFonts w:ascii="Arial" w:cs="Arial" w:hAnsi="Arial"/>
        </w:rPr>
        <w:t xml:space="preserve"> </w:t>
      </w:r>
    </w:p>
    <w:p>
      <w:pPr>
        <w:pStyle w:val="style157"/>
        <w:jc w:val="both"/>
        <w:rPr>
          <w:rFonts w:ascii="Arial" w:cs="Arial" w:eastAsia="Calibri" w:hAnsi="Arial"/>
        </w:rPr>
      </w:pPr>
      <w:r>
        <w:rPr>
          <w:rFonts w:ascii="Arial" w:cs="Arial" w:eastAsia="Calibri" w:hAnsi="Arial"/>
        </w:rPr>
        <w:t>Los estudios para la conservación de La Candelaria como centro histórico y cultural recobraron validez con la expedición del acuerdo 10 de 1980, por medio del cual se creó la Corporación La Candelaria, organismo jurídico y administrativo destinado a tal fin.</w:t>
      </w:r>
    </w:p>
    <w:p>
      <w:pPr>
        <w:pStyle w:val="style157"/>
        <w:jc w:val="both"/>
        <w:rPr>
          <w:rFonts w:ascii="Arial" w:cs="Arial" w:eastAsia="Calibri" w:hAnsi="Arial"/>
        </w:rPr>
      </w:pPr>
    </w:p>
    <w:p>
      <w:pPr>
        <w:pStyle w:val="style157"/>
        <w:jc w:val="both"/>
        <w:rPr>
          <w:rFonts w:ascii="Arial" w:cs="Arial" w:eastAsia="Calibri" w:hAnsi="Arial"/>
          <w:i/>
          <w:iCs/>
        </w:rPr>
      </w:pPr>
      <w:r>
        <w:rPr>
          <w:rFonts w:ascii="Arial" w:cs="Arial" w:eastAsia="Calibri" w:hAnsi="Arial"/>
        </w:rPr>
        <w:t xml:space="preserve">El reconocimiento de La Candelaria como centro histórico cultural se fortaleció con el proceso de descentralización política, administrativa y fiscal de Santa Fe de Bogotá, D.C., mediante la ley primera de 1992, que reglamentó la división territorial del Distrito.” </w:t>
      </w:r>
      <w:r>
        <w:rPr>
          <w:rFonts w:ascii="Arial" w:cs="Arial" w:hAnsi="Arial"/>
          <w:i/>
          <w:iCs/>
        </w:rPr>
        <w:t>Tomado de la página www.redbogota.com del programa Red Bogotá de la Universidad Nacional de Colombia.</w:t>
      </w:r>
    </w:p>
    <w:p>
      <w:pPr>
        <w:pStyle w:val="style0"/>
        <w:jc w:val="both"/>
        <w:rPr>
          <w:rFonts w:ascii="Arial" w:cs="Arial" w:hAnsi="Arial"/>
          <w:lang w:val="es-MX"/>
        </w:rPr>
      </w:pPr>
    </w:p>
    <w:bookmarkStart w:id="6" w:name="_Toc47364972"/>
    <w:bookmarkStart w:id="7" w:name="_Toc47477385"/>
    <w:p>
      <w:pPr>
        <w:pStyle w:val="style2"/>
        <w:rPr>
          <w:rStyle w:val="style87"/>
          <w:rFonts w:ascii="Arial" w:cs="Arial" w:hAnsi="Arial"/>
          <w:b w:val="false"/>
          <w:bCs w:val="false"/>
          <w:color w:val="auto"/>
          <w:sz w:val="22"/>
          <w:szCs w:val="22"/>
        </w:rPr>
      </w:pPr>
      <w:r>
        <w:rPr>
          <w:rStyle w:val="style87"/>
          <w:rFonts w:ascii="Arial" w:cs="Arial" w:hAnsi="Arial"/>
          <w:b w:val="false"/>
          <w:bCs w:val="false"/>
          <w:color w:val="auto"/>
          <w:sz w:val="22"/>
          <w:szCs w:val="22"/>
        </w:rPr>
        <w:t>ASPECTOS GEOGRÁFICOS.</w:t>
      </w:r>
      <w:bookmarkEnd w:id="6"/>
      <w:bookmarkEnd w:id="7"/>
      <w:r>
        <w:rPr>
          <w:rStyle w:val="style87"/>
          <w:rFonts w:ascii="Arial" w:cs="Arial" w:hAnsi="Arial"/>
          <w:b w:val="false"/>
          <w:bCs w:val="false"/>
          <w:color w:val="auto"/>
          <w:sz w:val="22"/>
          <w:szCs w:val="22"/>
        </w:rPr>
        <w:t xml:space="preserve"> </w:t>
      </w:r>
    </w:p>
    <w:p>
      <w:pPr>
        <w:pStyle w:val="style0"/>
        <w:rPr/>
      </w:pPr>
    </w:p>
    <w:p>
      <w:pPr>
        <w:pStyle w:val="style94"/>
        <w:shd w:val="clear" w:color="auto" w:fill="ffffff"/>
        <w:spacing w:before="0" w:beforeAutospacing="false" w:after="150" w:afterAutospacing="false"/>
        <w:jc w:val="both"/>
        <w:rPr>
          <w:rStyle w:val="style4099"/>
          <w:color w:val="auto"/>
          <w:lang w:val="es-MX"/>
        </w:rPr>
      </w:pPr>
      <w:r>
        <w:rPr>
          <w:rStyle w:val="style4099"/>
          <w:color w:val="auto"/>
          <w:lang w:val="es-MX"/>
        </w:rPr>
        <w:t xml:space="preserve">La localidad de </w:t>
      </w:r>
      <w:r>
        <w:rPr>
          <w:rStyle w:val="style4100"/>
          <w:rFonts w:ascii="Arial" w:cs="Arial" w:hAnsi="Arial"/>
          <w:color w:val="auto"/>
          <w:sz w:val="22"/>
          <w:szCs w:val="22"/>
          <w:lang w:val="es-MX"/>
        </w:rPr>
        <w:t xml:space="preserve">La Candelaria </w:t>
      </w:r>
      <w:r>
        <w:rPr>
          <w:rStyle w:val="style4099"/>
          <w:color w:val="auto"/>
          <w:lang w:val="es-MX"/>
        </w:rPr>
        <w:t xml:space="preserve">limita en todo su contorno con la localidad </w:t>
      </w:r>
      <w:r>
        <w:rPr>
          <w:rStyle w:val="style4099"/>
          <w:color w:val="auto"/>
          <w:lang w:val="es-MX"/>
        </w:rPr>
        <w:t xml:space="preserve">de </w:t>
      </w:r>
      <w:r>
        <w:rPr>
          <w:rStyle w:val="style4099"/>
          <w:color w:val="auto"/>
          <w:lang w:val="es-MX"/>
        </w:rPr>
        <w:t xml:space="preserve">Santa Fe, situada en el sector centro-oriental de la ciudad que comprende el centro histórico de Bogotá. Su topografía es inclinada, al oriente </w:t>
      </w:r>
      <w:r>
        <w:rPr>
          <w:rStyle w:val="style4099"/>
          <w:color w:val="auto"/>
          <w:lang w:val="es-MX"/>
        </w:rPr>
        <w:t xml:space="preserve">se pronuncia más dicha </w:t>
      </w:r>
      <w:r>
        <w:rPr>
          <w:rStyle w:val="style4099"/>
          <w:color w:val="auto"/>
          <w:lang w:val="es-MX"/>
        </w:rPr>
        <w:t>inclina</w:t>
      </w:r>
      <w:r>
        <w:rPr>
          <w:rStyle w:val="style4099"/>
          <w:color w:val="auto"/>
          <w:lang w:val="es-MX"/>
        </w:rPr>
        <w:t>ción,</w:t>
      </w:r>
      <w:r>
        <w:rPr>
          <w:rStyle w:val="style4099"/>
          <w:color w:val="auto"/>
          <w:lang w:val="es-MX"/>
        </w:rPr>
        <w:t xml:space="preserve"> en aproximación al piedemonte de los </w:t>
      </w:r>
      <w:r>
        <w:rPr>
          <w:rStyle w:val="style4099"/>
          <w:color w:val="auto"/>
          <w:lang w:val="es-MX"/>
        </w:rPr>
        <w:t>c</w:t>
      </w:r>
      <w:r>
        <w:rPr>
          <w:rStyle w:val="style4099"/>
          <w:color w:val="auto"/>
          <w:lang w:val="es-MX"/>
        </w:rPr>
        <w:t xml:space="preserve">erros </w:t>
      </w:r>
      <w:r>
        <w:rPr>
          <w:rStyle w:val="style4099"/>
          <w:color w:val="auto"/>
          <w:lang w:val="es-MX"/>
        </w:rPr>
        <w:t>o</w:t>
      </w:r>
      <w:r>
        <w:rPr>
          <w:rStyle w:val="style4099"/>
          <w:color w:val="auto"/>
          <w:lang w:val="es-MX"/>
        </w:rPr>
        <w:t>rientales</w:t>
      </w:r>
      <w:r>
        <w:rPr>
          <w:rStyle w:val="style4099"/>
          <w:color w:val="auto"/>
          <w:lang w:val="es-MX"/>
        </w:rPr>
        <w:t xml:space="preserve"> de la ciudad</w:t>
      </w:r>
      <w:r>
        <w:rPr>
          <w:rStyle w:val="style4099"/>
          <w:color w:val="auto"/>
          <w:lang w:val="es-MX"/>
        </w:rPr>
        <w:t>.</w:t>
      </w:r>
    </w:p>
    <w:p>
      <w:pPr>
        <w:pStyle w:val="style0"/>
        <w:spacing w:after="0" w:lineRule="auto" w:line="240"/>
        <w:jc w:val="both"/>
        <w:rPr>
          <w:rStyle w:val="style4099"/>
          <w:color w:val="auto"/>
          <w:lang w:val="es-MX"/>
        </w:rPr>
      </w:pPr>
      <w:r>
        <w:rPr>
          <w:rStyle w:val="style4099"/>
          <w:color w:val="auto"/>
          <w:lang w:val="es-MX"/>
        </w:rPr>
        <w:t>La localidad de La Candelaria está constituida por ocho barrios: Nueva Santa Fe de Bogotá, Santa Bárbara, Belén, Las Aguas, La Catedral, La Concordia, el Centro Administrativo y La Candelaria.</w:t>
      </w:r>
    </w:p>
    <w:p>
      <w:pPr>
        <w:pStyle w:val="style0"/>
        <w:spacing w:after="0" w:lineRule="auto" w:line="240"/>
        <w:jc w:val="both"/>
        <w:rPr>
          <w:rStyle w:val="style4099"/>
          <w:color w:val="auto"/>
          <w:lang w:val="es-MX"/>
        </w:rPr>
      </w:pPr>
    </w:p>
    <w:p>
      <w:pPr>
        <w:pStyle w:val="style0"/>
        <w:spacing w:after="0" w:lineRule="auto" w:line="240"/>
        <w:jc w:val="both"/>
        <w:rPr>
          <w:rStyle w:val="style4099"/>
          <w:color w:val="auto"/>
          <w:lang w:val="es-MX"/>
        </w:rPr>
      </w:pPr>
    </w:p>
    <w:p>
      <w:pPr>
        <w:pStyle w:val="style0"/>
        <w:spacing w:after="0" w:lineRule="auto" w:line="240"/>
        <w:jc w:val="both"/>
        <w:rPr>
          <w:rStyle w:val="style4099"/>
          <w:color w:val="auto"/>
          <w:lang w:val="es-MX"/>
        </w:rPr>
      </w:pPr>
    </w:p>
    <w:p>
      <w:pPr>
        <w:pStyle w:val="style94"/>
        <w:shd w:val="clear" w:color="auto" w:fill="ffffff"/>
        <w:spacing w:before="0" w:beforeAutospacing="false" w:after="150" w:afterAutospacing="false"/>
        <w:jc w:val="center"/>
        <w:rPr>
          <w:rFonts w:ascii="Arial" w:cs="Arial" w:hAnsi="Arial"/>
          <w:noProof/>
          <w:sz w:val="22"/>
          <w:szCs w:val="22"/>
          <w:lang w:eastAsia="es-CO"/>
        </w:rPr>
      </w:pPr>
    </w:p>
    <w:p>
      <w:pPr>
        <w:pStyle w:val="style94"/>
        <w:shd w:val="clear" w:color="auto" w:fill="ffffff"/>
        <w:spacing w:before="0" w:beforeAutospacing="false" w:after="150" w:afterAutospacing="false"/>
        <w:jc w:val="center"/>
        <w:rPr>
          <w:rFonts w:ascii="Arial" w:cs="Arial" w:hAnsi="Arial"/>
          <w:noProof/>
          <w:sz w:val="22"/>
          <w:szCs w:val="22"/>
          <w:lang w:eastAsia="es-CO"/>
        </w:rPr>
      </w:pPr>
    </w:p>
    <w:p>
      <w:pPr>
        <w:pStyle w:val="style94"/>
        <w:shd w:val="clear" w:color="auto" w:fill="ffffff"/>
        <w:spacing w:before="0" w:beforeAutospacing="false" w:after="150" w:afterAutospacing="false"/>
        <w:jc w:val="center"/>
        <w:rPr>
          <w:rStyle w:val="style4099"/>
          <w:color w:val="auto"/>
          <w:lang w:val="es-MX"/>
        </w:rPr>
      </w:pPr>
      <w:r>
        <w:rPr>
          <w:rFonts w:ascii="Arial" w:cs="Arial" w:hAnsi="Arial"/>
          <w:noProof/>
          <w:sz w:val="22"/>
          <w:szCs w:val="22"/>
          <w:lang w:eastAsia="es-CO"/>
        </w:rPr>
        <w:drawing>
          <wp:inline distL="0" distT="0" distB="0" distR="0">
            <wp:extent cx="5438775" cy="3491425"/>
            <wp:effectExtent l="0" t="0" r="0" b="0"/>
            <wp:docPr id="1026" name="Imagen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4" cstate="print"/>
                    <a:srcRect l="17837" t="9774" r="19704" b="9137"/>
                    <a:stretch/>
                  </pic:blipFill>
                  <pic:spPr>
                    <a:xfrm rot="0">
                      <a:off x="0" y="0"/>
                      <a:ext cx="5438775" cy="3491425"/>
                    </a:xfrm>
                    <a:prstGeom prst="rect"/>
                    <a:ln>
                      <a:noFill/>
                    </a:ln>
                  </pic:spPr>
                </pic:pic>
              </a:graphicData>
            </a:graphic>
          </wp:inline>
        </w:drawing>
      </w:r>
    </w:p>
    <w:p>
      <w:pPr>
        <w:pStyle w:val="style94"/>
        <w:shd w:val="clear" w:color="auto" w:fill="ffffff"/>
        <w:spacing w:before="0" w:beforeAutospacing="false" w:after="150" w:afterAutospacing="false"/>
        <w:jc w:val="center"/>
        <w:rPr>
          <w:rFonts w:ascii="Arial" w:cs="Arial" w:hAnsi="Arial"/>
          <w:sz w:val="16"/>
          <w:szCs w:val="16"/>
        </w:rPr>
      </w:pPr>
      <w:r>
        <w:rPr>
          <w:rStyle w:val="style4099"/>
          <w:color w:val="auto"/>
          <w:sz w:val="16"/>
          <w:szCs w:val="16"/>
          <w:lang w:val="es-MX"/>
        </w:rPr>
        <w:t xml:space="preserve">FUENTE: </w:t>
      </w:r>
      <w:r>
        <w:rPr>
          <w:rFonts w:ascii="Arial" w:cs="Arial" w:hAnsi="Arial"/>
          <w:sz w:val="16"/>
          <w:szCs w:val="16"/>
        </w:rPr>
        <w:t xml:space="preserve">SDP 2018, MONOGRAFÍAS POR LOCALIDADES. </w:t>
      </w:r>
    </w:p>
    <w:p>
      <w:pPr>
        <w:pStyle w:val="style94"/>
        <w:shd w:val="clear" w:color="auto" w:fill="ffffff"/>
        <w:spacing w:before="0" w:beforeAutospacing="false" w:after="150" w:afterAutospacing="false"/>
        <w:jc w:val="center"/>
        <w:rPr>
          <w:rStyle w:val="style4099"/>
          <w:color w:val="auto"/>
          <w:sz w:val="16"/>
          <w:szCs w:val="16"/>
          <w:lang w:val="es-MX"/>
        </w:rPr>
      </w:pPr>
    </w:p>
    <w:p>
      <w:pPr>
        <w:pStyle w:val="style94"/>
        <w:shd w:val="clear" w:color="auto" w:fill="ffffff"/>
        <w:spacing w:before="0" w:beforeAutospacing="false" w:after="150" w:afterAutospacing="false"/>
        <w:jc w:val="both"/>
        <w:rPr>
          <w:rStyle w:val="style4099"/>
          <w:color w:val="auto"/>
          <w:lang w:val="es-MX"/>
        </w:rPr>
      </w:pPr>
      <w:r>
        <w:rPr>
          <w:rStyle w:val="style4099"/>
          <w:color w:val="auto"/>
          <w:lang w:val="es-MX"/>
        </w:rPr>
        <w:t xml:space="preserve">La localidad de La Candelaria tiene una extensión de 206,0 hectáreas, </w:t>
      </w:r>
      <w:r>
        <w:rPr>
          <w:rStyle w:val="style4099"/>
          <w:color w:val="auto"/>
          <w:lang w:val="es-MX"/>
        </w:rPr>
        <w:t>casi todas</w:t>
      </w:r>
      <w:r>
        <w:rPr>
          <w:rStyle w:val="style4099"/>
          <w:color w:val="auto"/>
          <w:lang w:val="es-MX"/>
        </w:rPr>
        <w:t xml:space="preserve"> e</w:t>
      </w:r>
      <w:r>
        <w:rPr>
          <w:rStyle w:val="style4099"/>
          <w:color w:val="auto"/>
          <w:lang w:val="es-MX"/>
        </w:rPr>
        <w:t>n</w:t>
      </w:r>
      <w:r>
        <w:rPr>
          <w:rStyle w:val="style4099"/>
          <w:color w:val="auto"/>
          <w:lang w:val="es-MX"/>
        </w:rPr>
        <w:t xml:space="preserve"> suelo urbano y 0,5 hectáreas </w:t>
      </w:r>
      <w:r>
        <w:rPr>
          <w:rStyle w:val="style4099"/>
          <w:color w:val="auto"/>
          <w:lang w:val="es-MX"/>
        </w:rPr>
        <w:t>en</w:t>
      </w:r>
      <w:r>
        <w:rPr>
          <w:rStyle w:val="style4099"/>
          <w:color w:val="auto"/>
          <w:lang w:val="es-MX"/>
        </w:rPr>
        <w:t xml:space="preserve"> suelo rural</w:t>
      </w:r>
      <w:r>
        <w:rPr>
          <w:rStyle w:val="style4099"/>
          <w:color w:val="auto"/>
          <w:lang w:val="es-MX"/>
        </w:rPr>
        <w:t xml:space="preserve">, constituyéndose en la más pequeña de la ciudad. </w:t>
      </w:r>
      <w:r>
        <w:rPr>
          <w:rStyle w:val="style4099"/>
          <w:color w:val="auto"/>
          <w:lang w:val="es-MX"/>
        </w:rPr>
        <w:t xml:space="preserve"> No posee suelo de expansión. Vale</w:t>
      </w:r>
      <w:r>
        <w:rPr>
          <w:rFonts w:ascii="Arial" w:cs="Arial" w:hAnsi="Arial"/>
          <w:sz w:val="22"/>
          <w:szCs w:val="22"/>
          <w:lang w:val="es-MX"/>
        </w:rPr>
        <w:br/>
      </w:r>
      <w:r>
        <w:rPr>
          <w:rStyle w:val="style4099"/>
          <w:color w:val="auto"/>
          <w:lang w:val="es-MX"/>
        </w:rPr>
        <w:t>la pena destacar que disminuyó el suelo urbano en 0,06 hectáreas.</w:t>
      </w:r>
      <w:r>
        <w:rPr>
          <w:rStyle w:val="style38"/>
          <w:rFonts w:ascii="Arial" w:cs="Arial" w:hAnsi="Arial"/>
          <w:sz w:val="22"/>
          <w:szCs w:val="22"/>
          <w:lang w:val="es-MX"/>
        </w:rPr>
        <w:footnoteReference w:id="1"/>
      </w:r>
    </w:p>
    <w:p>
      <w:pPr>
        <w:pStyle w:val="style94"/>
        <w:shd w:val="clear" w:color="auto" w:fill="ffffff"/>
        <w:spacing w:before="0" w:beforeAutospacing="false" w:after="150" w:afterAutospacing="false"/>
        <w:jc w:val="both"/>
        <w:rPr>
          <w:rFonts w:ascii="Arial" w:cs="Arial" w:hAnsi="Arial"/>
          <w:sz w:val="22"/>
          <w:szCs w:val="22"/>
          <w:lang w:val="es-MX"/>
        </w:rPr>
      </w:pPr>
    </w:p>
    <w:tbl>
      <w:tblPr>
        <w:tblW w:w="8529" w:type="dxa"/>
        <w:jc w:val="center"/>
        <w:tblLook w:val="04A0" w:firstRow="1" w:lastRow="0" w:firstColumn="1" w:lastColumn="0" w:noHBand="0" w:noVBand="1"/>
      </w:tblPr>
      <w:tblGrid>
        <w:gridCol w:w="1706"/>
        <w:gridCol w:w="1486"/>
        <w:gridCol w:w="1757"/>
        <w:gridCol w:w="1541"/>
        <w:gridCol w:w="2036"/>
      </w:tblGrid>
      <w:tr>
        <w:trPr>
          <w:trHeight w:val="278" w:hRule="atLeast"/>
          <w:jc w:val="center"/>
        </w:trPr>
        <w:tc>
          <w:tcPr>
            <w:tcW w:w="8529" w:type="dxa"/>
            <w:gridSpan w:val="5"/>
            <w:tcBorders>
              <w:top w:val="single" w:sz="4" w:space="0" w:color="auto"/>
              <w:left w:val="single" w:sz="4" w:space="0" w:color="auto"/>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Superficie y clase de suelo por localidad 2017</w:t>
            </w:r>
          </w:p>
        </w:tc>
      </w:tr>
      <w:tr>
        <w:tblPrEx/>
        <w:trPr>
          <w:trHeight w:val="500" w:hRule="atLeast"/>
          <w:jc w:val="center"/>
        </w:trPr>
        <w:tc>
          <w:tcPr>
            <w:tcW w:w="1706" w:type="dxa"/>
            <w:tcBorders>
              <w:top w:val="nil"/>
              <w:left w:val="single" w:sz="4" w:space="0" w:color="auto"/>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Local</w:t>
            </w:r>
            <w:r>
              <w:rPr>
                <w:rFonts w:ascii="Arial" w:cs="Arial" w:eastAsia="Times New Roman" w:hAnsi="Arial"/>
              </w:rPr>
              <w:t>i</w:t>
            </w:r>
            <w:r>
              <w:rPr>
                <w:rFonts w:ascii="Arial" w:cs="Arial" w:eastAsia="Times New Roman" w:hAnsi="Arial"/>
              </w:rPr>
              <w:t xml:space="preserve">dad </w:t>
            </w:r>
          </w:p>
        </w:tc>
        <w:tc>
          <w:tcPr>
            <w:tcW w:w="1486" w:type="dxa"/>
            <w:tcBorders>
              <w:top w:val="nil"/>
              <w:left w:val="nil"/>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Área total (ha)</w:t>
            </w:r>
          </w:p>
        </w:tc>
        <w:tc>
          <w:tcPr>
            <w:tcW w:w="1757" w:type="dxa"/>
            <w:tcBorders>
              <w:top w:val="nil"/>
              <w:left w:val="nil"/>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Área Urbana (ha)</w:t>
            </w:r>
          </w:p>
        </w:tc>
        <w:tc>
          <w:tcPr>
            <w:tcW w:w="1541" w:type="dxa"/>
            <w:tcBorders>
              <w:top w:val="nil"/>
              <w:left w:val="nil"/>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xml:space="preserve">Área Rural (ha) </w:t>
            </w:r>
          </w:p>
        </w:tc>
        <w:tc>
          <w:tcPr>
            <w:tcW w:w="2036" w:type="dxa"/>
            <w:tcBorders>
              <w:top w:val="nil"/>
              <w:left w:val="nil"/>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Área Expansión (ha)</w:t>
            </w:r>
          </w:p>
        </w:tc>
      </w:tr>
      <w:tr>
        <w:tblPrEx/>
        <w:trPr>
          <w:trHeight w:val="639" w:hRule="atLeast"/>
          <w:jc w:val="center"/>
        </w:trPr>
        <w:tc>
          <w:tcPr>
            <w:tcW w:w="1706" w:type="dxa"/>
            <w:tcBorders>
              <w:top w:val="nil"/>
              <w:left w:val="single" w:sz="4" w:space="0" w:color="auto"/>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 xml:space="preserve">Candelaria </w:t>
            </w:r>
          </w:p>
        </w:tc>
        <w:tc>
          <w:tcPr>
            <w:tcW w:w="1486"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206</w:t>
            </w:r>
          </w:p>
        </w:tc>
        <w:tc>
          <w:tcPr>
            <w:tcW w:w="1757"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206</w:t>
            </w:r>
          </w:p>
        </w:tc>
        <w:tc>
          <w:tcPr>
            <w:tcW w:w="1541"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0,1</w:t>
            </w:r>
          </w:p>
        </w:tc>
        <w:tc>
          <w:tcPr>
            <w:tcW w:w="2036"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0</w:t>
            </w:r>
          </w:p>
        </w:tc>
      </w:tr>
      <w:tr>
        <w:tblPrEx/>
        <w:trPr>
          <w:trHeight w:val="278" w:hRule="atLeast"/>
          <w:jc w:val="center"/>
        </w:trPr>
        <w:tc>
          <w:tcPr>
            <w:tcW w:w="1706" w:type="dxa"/>
            <w:tcBorders>
              <w:top w:val="nil"/>
              <w:left w:val="single" w:sz="4" w:space="0" w:color="auto"/>
              <w:bottom w:val="single" w:sz="4" w:space="0" w:color="auto"/>
              <w:right w:val="single" w:sz="4" w:space="0" w:color="auto"/>
            </w:tcBorders>
            <w:shd w:val="clear" w:color="auto" w:fill="auto"/>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xml:space="preserve">Total Bogotá </w:t>
            </w:r>
          </w:p>
        </w:tc>
        <w:tc>
          <w:tcPr>
            <w:tcW w:w="1486"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163.635</w:t>
            </w:r>
          </w:p>
        </w:tc>
        <w:tc>
          <w:tcPr>
            <w:tcW w:w="1757"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37.973</w:t>
            </w:r>
          </w:p>
        </w:tc>
        <w:tc>
          <w:tcPr>
            <w:tcW w:w="1541"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122.687,40</w:t>
            </w:r>
          </w:p>
        </w:tc>
        <w:tc>
          <w:tcPr>
            <w:tcW w:w="2036"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2947,9</w:t>
            </w:r>
          </w:p>
        </w:tc>
      </w:tr>
    </w:tbl>
    <w:p>
      <w:pPr>
        <w:pStyle w:val="style94"/>
        <w:shd w:val="clear" w:color="auto" w:fill="ffffff"/>
        <w:spacing w:before="0" w:beforeAutospacing="false" w:after="150" w:afterAutospacing="false"/>
        <w:jc w:val="both"/>
        <w:rPr>
          <w:rStyle w:val="style4099"/>
          <w:color w:val="auto"/>
        </w:rPr>
      </w:pPr>
    </w:p>
    <w:p>
      <w:pPr>
        <w:pStyle w:val="style94"/>
        <w:shd w:val="clear" w:color="auto" w:fill="ffffff"/>
        <w:spacing w:before="0" w:beforeAutospacing="false" w:after="150" w:afterAutospacing="false"/>
        <w:jc w:val="both"/>
        <w:rPr>
          <w:rStyle w:val="style4099"/>
          <w:color w:val="auto"/>
          <w:lang w:val="es-MX"/>
        </w:rPr>
      </w:pPr>
      <w:r>
        <w:rPr>
          <w:rStyle w:val="style4099"/>
          <w:color w:val="auto"/>
          <w:lang w:val="es-MX"/>
        </w:rPr>
        <w:t xml:space="preserve">Por lo anteriores datos se considera a la localidad de La Candelaria como una con baja área Urbana. </w:t>
      </w: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Fonts w:ascii="Arial" w:cs="Arial" w:hAnsi="Arial"/>
          <w:noProof/>
          <w:sz w:val="22"/>
          <w:szCs w:val="22"/>
          <w:lang w:eastAsia="es-CO"/>
        </w:rPr>
      </w:pPr>
    </w:p>
    <w:p>
      <w:pPr>
        <w:pStyle w:val="style94"/>
        <w:shd w:val="clear" w:color="auto" w:fill="ffffff"/>
        <w:spacing w:before="0" w:beforeAutospacing="false" w:after="150" w:afterAutospacing="false"/>
        <w:jc w:val="both"/>
        <w:rPr>
          <w:rStyle w:val="style4099"/>
          <w:color w:val="auto"/>
          <w:lang w:val="es-MX"/>
        </w:rPr>
      </w:pPr>
      <w:r>
        <w:rPr>
          <w:rFonts w:ascii="Arial" w:cs="Arial" w:hAnsi="Arial"/>
          <w:noProof/>
          <w:sz w:val="22"/>
          <w:szCs w:val="22"/>
          <w:lang w:eastAsia="es-CO"/>
        </w:rPr>
        <w:drawing>
          <wp:inline distL="0" distT="0" distB="0" distR="0">
            <wp:extent cx="5572125" cy="3927748"/>
            <wp:effectExtent l="0" t="0" r="0" b="0"/>
            <wp:docPr id="1027" name="Imagen 1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n 12"/>
                    <pic:cNvPicPr/>
                  </pic:nvPicPr>
                  <pic:blipFill>
                    <a:blip r:embed="rId5" cstate="print"/>
                    <a:srcRect l="25904" t="23548" r="23397" b="16683"/>
                    <a:stretch/>
                  </pic:blipFill>
                  <pic:spPr>
                    <a:xfrm rot="0">
                      <a:off x="0" y="0"/>
                      <a:ext cx="5572125" cy="3927748"/>
                    </a:xfrm>
                    <a:prstGeom prst="rect"/>
                    <a:ln>
                      <a:noFill/>
                    </a:ln>
                  </pic:spPr>
                </pic:pic>
              </a:graphicData>
            </a:graphic>
          </wp:inline>
        </w:drawing>
      </w:r>
    </w:p>
    <w:p>
      <w:pPr>
        <w:pStyle w:val="style94"/>
        <w:shd w:val="clear" w:color="auto" w:fill="ffffff"/>
        <w:spacing w:before="0" w:beforeAutospacing="false" w:after="150" w:afterAutospacing="false"/>
        <w:jc w:val="center"/>
        <w:rPr>
          <w:rFonts w:ascii="Arial" w:cs="Arial" w:hAnsi="Arial"/>
          <w:sz w:val="16"/>
          <w:szCs w:val="16"/>
          <w:lang w:val="es-MX"/>
        </w:rPr>
      </w:pPr>
      <w:r>
        <w:rPr>
          <w:rFonts w:ascii="Arial" w:cs="Arial" w:hAnsi="Arial"/>
          <w:sz w:val="16"/>
          <w:szCs w:val="16"/>
          <w:lang w:val="es-MX"/>
        </w:rPr>
        <w:t>FUENTE: INDICADORES DE DIAGNOSTICO LOCAL PARA LAS COMPETENCIAS DEL</w:t>
      </w:r>
      <w:r>
        <w:rPr>
          <w:rFonts w:ascii="Arial" w:cs="Arial" w:hAnsi="Arial"/>
          <w:sz w:val="16"/>
          <w:szCs w:val="16"/>
          <w:lang w:val="es-MX"/>
        </w:rPr>
        <w:t xml:space="preserve"> </w:t>
      </w:r>
      <w:r>
        <w:rPr>
          <w:rFonts w:ascii="Arial" w:cs="Arial" w:hAnsi="Arial"/>
          <w:sz w:val="16"/>
          <w:szCs w:val="16"/>
          <w:lang w:val="es-MX"/>
        </w:rPr>
        <w:t>ACUERDO 740 DE 2019</w:t>
      </w:r>
    </w:p>
    <w:p>
      <w:pPr>
        <w:pStyle w:val="style94"/>
        <w:shd w:val="clear" w:color="auto" w:fill="ffffff"/>
        <w:spacing w:before="0" w:beforeAutospacing="false" w:after="150" w:afterAutospacing="false"/>
        <w:jc w:val="center"/>
        <w:rPr>
          <w:rFonts w:ascii="Arial" w:cs="Arial" w:hAnsi="Arial"/>
          <w:sz w:val="22"/>
          <w:szCs w:val="22"/>
          <w:lang w:val="es-MX"/>
        </w:rPr>
      </w:pPr>
    </w:p>
    <w:p>
      <w:pPr>
        <w:pStyle w:val="style94"/>
        <w:shd w:val="clear" w:color="auto" w:fill="ffffff"/>
        <w:spacing w:before="0" w:beforeAutospacing="false" w:after="150" w:afterAutospacing="false"/>
        <w:jc w:val="both"/>
        <w:rPr>
          <w:rStyle w:val="style4099"/>
          <w:color w:val="auto"/>
          <w:lang w:val="es-MX"/>
        </w:rPr>
      </w:pPr>
      <w:r>
        <w:rPr>
          <w:rStyle w:val="style4099"/>
          <w:color w:val="auto"/>
          <w:lang w:val="es-MX"/>
        </w:rPr>
        <w:t xml:space="preserve">La Candelaria es un espacio histórico y cultural, pues fue aquí donde se llevó a cabo la fundación de la ciudad, en lo que hoy se conoce como el Chorro de Quevedo. Esto convierte a la localidad en punto de referencia para cualquier tipo de indagación histórica, cultural, social o política </w:t>
      </w:r>
      <w:r>
        <w:rPr>
          <w:rStyle w:val="style4099"/>
          <w:color w:val="auto"/>
          <w:lang w:val="es-MX"/>
        </w:rPr>
        <w:t>y</w:t>
      </w:r>
      <w:r>
        <w:rPr>
          <w:rStyle w:val="style4099"/>
          <w:color w:val="auto"/>
          <w:lang w:val="es-MX"/>
        </w:rPr>
        <w:t xml:space="preserve"> es un referente turístico a nivel internacional. </w:t>
      </w:r>
    </w:p>
    <w:p>
      <w:pPr>
        <w:pStyle w:val="style94"/>
        <w:shd w:val="clear" w:color="auto" w:fill="ffffff"/>
        <w:spacing w:before="0" w:beforeAutospacing="false" w:after="150" w:afterAutospacing="false"/>
        <w:jc w:val="both"/>
        <w:rPr>
          <w:rStyle w:val="style4099"/>
          <w:color w:val="auto"/>
          <w:lang w:val="es-MX"/>
        </w:rPr>
      </w:pPr>
    </w:p>
    <w:bookmarkStart w:id="8" w:name="_Toc47364973"/>
    <w:bookmarkStart w:id="9" w:name="_Toc47477386"/>
    <w:p>
      <w:pPr>
        <w:pStyle w:val="style2"/>
        <w:rPr>
          <w:rFonts w:ascii="Arial" w:cs="Arial" w:hAnsi="Arial"/>
          <w:color w:val="auto"/>
          <w:sz w:val="22"/>
          <w:szCs w:val="22"/>
        </w:rPr>
      </w:pPr>
      <w:r>
        <w:rPr>
          <w:rStyle w:val="style4099"/>
          <w:color w:val="auto"/>
        </w:rPr>
        <w:t>POBLACIÓN</w:t>
      </w:r>
      <w:bookmarkEnd w:id="8"/>
      <w:bookmarkEnd w:id="9"/>
      <w:r>
        <w:rPr>
          <w:rStyle w:val="style4099"/>
          <w:color w:val="auto"/>
        </w:rPr>
        <w:t xml:space="preserve"> </w:t>
      </w:r>
    </w:p>
    <w:p>
      <w:pPr>
        <w:pStyle w:val="style0"/>
        <w:jc w:val="both"/>
        <w:rPr>
          <w:rFonts w:ascii="Arial" w:cs="Arial" w:hAnsi="Arial"/>
          <w:lang w:val="es-MX"/>
        </w:rPr>
      </w:pPr>
    </w:p>
    <w:p>
      <w:pPr>
        <w:pStyle w:val="style94"/>
        <w:shd w:val="clear" w:color="auto" w:fill="ffffff"/>
        <w:spacing w:before="0" w:beforeAutospacing="false" w:after="150" w:afterAutospacing="false"/>
        <w:jc w:val="both"/>
        <w:rPr>
          <w:rStyle w:val="style4099"/>
          <w:color w:val="auto"/>
          <w:lang w:val="es-MX"/>
        </w:rPr>
      </w:pPr>
      <w:r>
        <w:rPr>
          <w:rStyle w:val="style4099"/>
          <w:color w:val="auto"/>
          <w:lang w:val="es-MX"/>
        </w:rPr>
        <w:t>L</w:t>
      </w:r>
      <w:r>
        <w:rPr>
          <w:rStyle w:val="style4099"/>
          <w:color w:val="auto"/>
          <w:lang w:val="es-MX"/>
        </w:rPr>
        <w:t xml:space="preserve">a población </w:t>
      </w:r>
      <w:r>
        <w:rPr>
          <w:rStyle w:val="style4099"/>
          <w:color w:val="auto"/>
          <w:lang w:val="es-MX"/>
        </w:rPr>
        <w:t xml:space="preserve">de </w:t>
      </w:r>
      <w:r>
        <w:rPr>
          <w:rStyle w:val="style4100"/>
          <w:rFonts w:ascii="Arial" w:cs="Arial" w:hAnsi="Arial"/>
          <w:color w:val="auto"/>
          <w:sz w:val="22"/>
          <w:szCs w:val="22"/>
          <w:lang w:val="es-MX"/>
        </w:rPr>
        <w:t>La Candelaria</w:t>
      </w:r>
      <w:r>
        <w:rPr>
          <w:rStyle w:val="style4099"/>
          <w:color w:val="auto"/>
          <w:lang w:val="es-MX"/>
        </w:rPr>
        <w:t xml:space="preserve"> en el </w:t>
      </w:r>
      <w:r>
        <w:rPr>
          <w:rStyle w:val="style4099"/>
          <w:color w:val="auto"/>
          <w:lang w:val="es-MX"/>
        </w:rPr>
        <w:t xml:space="preserve">año </w:t>
      </w:r>
      <w:r>
        <w:rPr>
          <w:rStyle w:val="style4099"/>
          <w:color w:val="auto"/>
          <w:lang w:val="es-MX"/>
        </w:rPr>
        <w:t>2020</w:t>
      </w:r>
      <w:r>
        <w:rPr>
          <w:rStyle w:val="style4099"/>
          <w:color w:val="auto"/>
          <w:lang w:val="es-MX"/>
        </w:rPr>
        <w:t xml:space="preserve"> </w:t>
      </w:r>
      <w:r>
        <w:rPr>
          <w:rStyle w:val="style4099"/>
          <w:color w:val="auto"/>
          <w:lang w:val="es-MX"/>
        </w:rPr>
        <w:t>es de 21.830</w:t>
      </w:r>
      <w:r>
        <w:rPr>
          <w:rStyle w:val="style4099"/>
          <w:color w:val="auto"/>
          <w:lang w:val="es-MX"/>
        </w:rPr>
        <w:t xml:space="preserve"> habitantes,</w:t>
      </w:r>
      <w:r>
        <w:rPr>
          <w:rStyle w:val="style4099"/>
          <w:color w:val="auto"/>
          <w:lang w:val="es-MX"/>
        </w:rPr>
        <w:t xml:space="preserve"> ocupando el décimo noveno lugar en número total de habitantes </w:t>
      </w:r>
      <w:r>
        <w:rPr>
          <w:rStyle w:val="style4099"/>
          <w:color w:val="auto"/>
          <w:lang w:val="es-MX"/>
        </w:rPr>
        <w:t xml:space="preserve">por localidad </w:t>
      </w:r>
      <w:r>
        <w:rPr>
          <w:rStyle w:val="style4099"/>
          <w:color w:val="auto"/>
          <w:lang w:val="es-MX"/>
        </w:rPr>
        <w:t xml:space="preserve">a nivel </w:t>
      </w:r>
      <w:r>
        <w:rPr>
          <w:rStyle w:val="style4099"/>
          <w:color w:val="auto"/>
          <w:lang w:val="es-MX"/>
        </w:rPr>
        <w:t>d</w:t>
      </w:r>
      <w:r>
        <w:rPr>
          <w:rStyle w:val="style4099"/>
          <w:color w:val="auto"/>
          <w:lang w:val="es-MX"/>
        </w:rPr>
        <w:t>istrital</w:t>
      </w:r>
      <w:r>
        <w:rPr>
          <w:rStyle w:val="style4099"/>
          <w:color w:val="auto"/>
          <w:lang w:val="es-MX"/>
        </w:rPr>
        <w:t>, aunque presenta un significativo impacto de población flotante o transitoria,</w:t>
      </w:r>
      <w:r>
        <w:rPr>
          <w:rStyle w:val="style4099"/>
          <w:color w:val="auto"/>
          <w:lang w:val="es-MX"/>
        </w:rPr>
        <w:t xml:space="preserve"> estimada en más de dos millones de personas</w:t>
      </w:r>
      <w:r>
        <w:rPr>
          <w:rStyle w:val="style4099"/>
          <w:color w:val="auto"/>
          <w:lang w:val="es-MX"/>
        </w:rPr>
        <w:t xml:space="preserve"> que diariamente se desplaza</w:t>
      </w:r>
      <w:r>
        <w:rPr>
          <w:rStyle w:val="style4099"/>
          <w:color w:val="auto"/>
          <w:lang w:val="es-MX"/>
        </w:rPr>
        <w:t>n</w:t>
      </w:r>
      <w:r>
        <w:rPr>
          <w:rStyle w:val="style4099"/>
          <w:color w:val="auto"/>
          <w:lang w:val="es-MX"/>
        </w:rPr>
        <w:t xml:space="preserve"> al centro de Bogotá, </w:t>
      </w:r>
      <w:r>
        <w:rPr>
          <w:rStyle w:val="style4099"/>
          <w:color w:val="auto"/>
          <w:lang w:val="es-MX"/>
        </w:rPr>
        <w:t xml:space="preserve">como escenario de la administración pública nacional y territorial, comercio, </w:t>
      </w:r>
      <w:r>
        <w:rPr>
          <w:rStyle w:val="style4099"/>
          <w:color w:val="auto"/>
          <w:lang w:val="es-MX"/>
        </w:rPr>
        <w:t xml:space="preserve">turismo, </w:t>
      </w:r>
      <w:r>
        <w:rPr>
          <w:rStyle w:val="style4099"/>
          <w:color w:val="auto"/>
          <w:lang w:val="es-MX"/>
        </w:rPr>
        <w:t xml:space="preserve">estudios u otras razones de movilidad </w:t>
      </w:r>
      <w:r>
        <w:rPr>
          <w:rStyle w:val="style4099"/>
          <w:color w:val="auto"/>
          <w:lang w:val="es-MX"/>
        </w:rPr>
        <w:t>h</w:t>
      </w:r>
      <w:r>
        <w:rPr>
          <w:rStyle w:val="style4099"/>
          <w:color w:val="auto"/>
          <w:lang w:val="es-MX"/>
        </w:rPr>
        <w:t>a</w:t>
      </w:r>
      <w:r>
        <w:rPr>
          <w:rStyle w:val="style4099"/>
          <w:color w:val="auto"/>
          <w:lang w:val="es-MX"/>
        </w:rPr>
        <w:t>cia y desde</w:t>
      </w:r>
      <w:r>
        <w:rPr>
          <w:rStyle w:val="style4099"/>
          <w:color w:val="auto"/>
          <w:lang w:val="es-MX"/>
        </w:rPr>
        <w:t xml:space="preserve"> la localidad</w:t>
      </w:r>
      <w:r>
        <w:rPr>
          <w:rStyle w:val="style4099"/>
          <w:color w:val="auto"/>
          <w:lang w:val="es-MX"/>
        </w:rPr>
        <w:t xml:space="preserve">. </w:t>
      </w:r>
    </w:p>
    <w:p>
      <w:pPr>
        <w:pStyle w:val="style94"/>
        <w:shd w:val="clear" w:color="auto" w:fill="ffffff"/>
        <w:spacing w:before="0" w:beforeAutospacing="false" w:after="150" w:afterAutospacing="false"/>
        <w:jc w:val="both"/>
        <w:rPr>
          <w:rFonts w:ascii="Arial" w:cs="Arial" w:hAnsi="Arial"/>
          <w:noProof/>
          <w:sz w:val="22"/>
          <w:szCs w:val="22"/>
          <w:lang w:eastAsia="es-CO"/>
        </w:rPr>
      </w:pPr>
      <w:r>
        <w:rPr>
          <w:rFonts w:ascii="Arial" w:cs="Arial" w:hAnsi="Arial"/>
          <w:sz w:val="22"/>
          <w:szCs w:val="22"/>
          <w:lang w:val="es-MX"/>
        </w:rPr>
        <w:br/>
      </w:r>
    </w:p>
    <w:p>
      <w:pPr>
        <w:pStyle w:val="style94"/>
        <w:shd w:val="clear" w:color="auto" w:fill="ffffff"/>
        <w:spacing w:before="0" w:beforeAutospacing="false" w:after="150" w:afterAutospacing="false"/>
        <w:jc w:val="both"/>
        <w:rPr>
          <w:rStyle w:val="style4099"/>
          <w:color w:val="auto"/>
          <w:lang w:val="es-MX"/>
        </w:rPr>
      </w:pPr>
      <w:r>
        <w:rPr>
          <w:rFonts w:ascii="Arial" w:cs="Arial" w:hAnsi="Arial"/>
          <w:noProof/>
          <w:sz w:val="22"/>
          <w:szCs w:val="22"/>
          <w:lang w:eastAsia="es-CO"/>
        </w:rPr>
        <w:drawing>
          <wp:inline distL="0" distT="0" distB="0" distR="0">
            <wp:extent cx="5457825" cy="3927072"/>
            <wp:effectExtent l="0" t="0" r="0" b="0"/>
            <wp:docPr id="1028" name="Imagen 1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n 11"/>
                    <pic:cNvPicPr/>
                  </pic:nvPicPr>
                  <pic:blipFill>
                    <a:blip r:embed="rId6" cstate="print"/>
                    <a:srcRect l="24724" t="29320" r="23549" b="10502"/>
                    <a:stretch/>
                  </pic:blipFill>
                  <pic:spPr>
                    <a:xfrm rot="0">
                      <a:off x="0" y="0"/>
                      <a:ext cx="5457825" cy="3927072"/>
                    </a:xfrm>
                    <a:prstGeom prst="rect"/>
                    <a:ln>
                      <a:noFill/>
                    </a:ln>
                  </pic:spPr>
                </pic:pic>
              </a:graphicData>
            </a:graphic>
          </wp:inline>
        </w:drawing>
      </w:r>
    </w:p>
    <w:p>
      <w:pPr>
        <w:pStyle w:val="style94"/>
        <w:shd w:val="clear" w:color="auto" w:fill="ffffff"/>
        <w:spacing w:before="0" w:beforeAutospacing="false" w:after="150" w:afterAutospacing="false"/>
        <w:jc w:val="center"/>
        <w:rPr>
          <w:rStyle w:val="style4099"/>
          <w:color w:val="auto"/>
          <w:sz w:val="16"/>
          <w:szCs w:val="16"/>
          <w:lang w:val="es-MX"/>
        </w:rPr>
      </w:pPr>
      <w:r>
        <w:rPr>
          <w:rStyle w:val="style4099"/>
          <w:color w:val="auto"/>
          <w:sz w:val="16"/>
          <w:szCs w:val="16"/>
          <w:lang w:val="es-MX"/>
        </w:rPr>
        <w:t>FUENTE: INDICADORES DE DIAGNOSTICO LOCAL PARA LAS COMPETENCIAS DEL</w:t>
      </w:r>
      <w:r>
        <w:rPr>
          <w:rStyle w:val="style4099"/>
          <w:color w:val="auto"/>
          <w:sz w:val="16"/>
          <w:szCs w:val="16"/>
          <w:lang w:val="es-MX"/>
        </w:rPr>
        <w:t xml:space="preserve"> </w:t>
      </w:r>
      <w:r>
        <w:rPr>
          <w:rStyle w:val="style4099"/>
          <w:color w:val="auto"/>
          <w:sz w:val="16"/>
          <w:szCs w:val="16"/>
          <w:lang w:val="es-MX"/>
        </w:rPr>
        <w:t>ACUERDO 740 DE 2019</w:t>
      </w:r>
    </w:p>
    <w:p>
      <w:pPr>
        <w:pStyle w:val="style94"/>
        <w:shd w:val="clear" w:color="auto" w:fill="ffffff"/>
        <w:spacing w:before="0" w:beforeAutospacing="false" w:after="150" w:afterAutospacing="false"/>
        <w:jc w:val="center"/>
        <w:rPr>
          <w:rStyle w:val="style4099"/>
          <w:color w:val="auto"/>
          <w:sz w:val="16"/>
          <w:szCs w:val="16"/>
          <w:lang w:val="es-MX"/>
        </w:rPr>
      </w:pPr>
    </w:p>
    <w:p>
      <w:pPr>
        <w:pStyle w:val="style94"/>
        <w:shd w:val="clear" w:color="auto" w:fill="ffffff"/>
        <w:spacing w:before="0" w:beforeAutospacing="false" w:after="150" w:afterAutospacing="false"/>
        <w:jc w:val="both"/>
        <w:rPr>
          <w:rFonts w:ascii="Arial" w:cs="Arial" w:hAnsi="Arial"/>
          <w:sz w:val="22"/>
          <w:szCs w:val="22"/>
        </w:rPr>
      </w:pPr>
      <w:r>
        <w:rPr>
          <w:rFonts w:ascii="Arial" w:cs="Arial" w:hAnsi="Arial"/>
          <w:sz w:val="22"/>
          <w:szCs w:val="22"/>
        </w:rPr>
        <w:t>La localidad se encuentra en el rango bajo en cuanto al número de habitantes que residen en su territorio, al igual que frente a la extensión de su área urbana, contando con una densidad promedio de 108 hab. / ha urbana, encontrándose muy por debajo del promedio de la ciudad (214 hab. / ha urbana).</w:t>
      </w:r>
    </w:p>
    <w:p>
      <w:pPr>
        <w:pStyle w:val="style94"/>
        <w:shd w:val="clear" w:color="auto" w:fill="ffffff"/>
        <w:spacing w:before="0" w:beforeAutospacing="false" w:after="150" w:afterAutospacing="false"/>
        <w:jc w:val="both"/>
        <w:rPr>
          <w:rFonts w:ascii="Arial" w:cs="Arial" w:hAnsi="Arial"/>
          <w:sz w:val="22"/>
          <w:szCs w:val="22"/>
          <w:lang w:val="es-MX"/>
        </w:rPr>
      </w:pPr>
      <w:r>
        <w:rPr>
          <w:rStyle w:val="style4099"/>
          <w:color w:val="auto"/>
          <w:lang w:val="es-MX"/>
        </w:rPr>
        <w:t>La composición de los habitantes de La Candelaria por Sexo y grupo etario es</w:t>
      </w:r>
      <w:r>
        <w:rPr>
          <w:rStyle w:val="style4099"/>
          <w:color w:val="auto"/>
          <w:lang w:val="es-MX"/>
        </w:rPr>
        <w:t xml:space="preserve"> la siguiente</w:t>
      </w:r>
      <w:r>
        <w:rPr>
          <w:rStyle w:val="style4099"/>
          <w:color w:val="auto"/>
          <w:lang w:val="es-MX"/>
        </w:rPr>
        <w:t xml:space="preserve">: </w:t>
      </w:r>
    </w:p>
    <w:p>
      <w:pPr>
        <w:pStyle w:val="style94"/>
        <w:shd w:val="clear" w:color="auto" w:fill="ffffff"/>
        <w:spacing w:before="0" w:beforeAutospacing="false" w:after="150" w:afterAutospacing="false"/>
        <w:jc w:val="both"/>
        <w:rPr>
          <w:rFonts w:ascii="Arial" w:cs="Arial" w:hAnsi="Arial"/>
          <w:sz w:val="22"/>
          <w:szCs w:val="22"/>
        </w:rPr>
      </w:pPr>
    </w:p>
    <w:tbl>
      <w:tblPr>
        <w:tblpPr w:leftFromText="141" w:rightFromText="141" w:topFromText="0" w:bottomFromText="0" w:vertAnchor="text" w:horzAnchor="page" w:tblpXSpec="center" w:tblpY="39"/>
        <w:tblW w:w="4957" w:type="dxa"/>
        <w:tblCellMar>
          <w:left w:w="70" w:type="dxa"/>
          <w:right w:w="70" w:type="dxa"/>
        </w:tblCellMar>
        <w:tblLook w:val="04A0" w:firstRow="1" w:lastRow="0" w:firstColumn="1" w:lastColumn="0" w:noHBand="0" w:noVBand="1"/>
      </w:tblPr>
      <w:tblGrid>
        <w:gridCol w:w="1769"/>
        <w:gridCol w:w="1094"/>
        <w:gridCol w:w="972"/>
        <w:gridCol w:w="1122"/>
      </w:tblGrid>
      <w:tr>
        <w:trPr>
          <w:trHeight w:val="547" w:hRule="atLeast"/>
        </w:trPr>
        <w:tc>
          <w:tcPr>
            <w:tcW w:w="4957" w:type="dxa"/>
            <w:gridSpan w:val="4"/>
            <w:tcBorders>
              <w:top w:val="single" w:sz="4" w:space="0" w:color="auto"/>
              <w:left w:val="single" w:sz="4" w:space="0" w:color="auto"/>
              <w:bottom w:val="single" w:sz="4" w:space="0" w:color="auto"/>
              <w:right w:val="single" w:sz="4" w:space="0" w:color="000000"/>
            </w:tcBorders>
            <w:shd w:val="clear" w:color="000000" w:fill="c00000"/>
            <w:noWrap/>
            <w:vAlign w:val="bottom"/>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Población total por grupos quinquenales de edad y sexo</w:t>
            </w:r>
            <w:r>
              <w:rPr>
                <w:rFonts w:ascii="Arial" w:cs="Arial" w:eastAsia="Times New Roman" w:hAnsi="Arial"/>
                <w:b/>
                <w:bCs/>
                <w:lang w:eastAsia="es-CO"/>
              </w:rPr>
              <w:t xml:space="preserve"> </w:t>
            </w:r>
            <w:r>
              <w:rPr>
                <w:rFonts w:ascii="Arial" w:cs="Arial" w:eastAsia="Times New Roman" w:hAnsi="Arial"/>
                <w:b/>
                <w:bCs/>
                <w:lang w:eastAsia="es-CO"/>
              </w:rPr>
              <w:t>La Candelaria 2018</w:t>
            </w:r>
          </w:p>
        </w:tc>
      </w:tr>
      <w:tr>
        <w:tblPrEx/>
        <w:trPr>
          <w:trHeight w:val="843"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Rango de Edad</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Hombres</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Mujeres</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Total</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rPr>
            </w:pPr>
            <w:r>
              <w:rPr>
                <w:rFonts w:ascii="Arial" w:cs="Arial" w:eastAsia="Times New Roman" w:hAnsi="Arial"/>
              </w:rPr>
              <w:t>0-4</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546</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507</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1.053</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rPr>
            </w:pPr>
            <w:r>
              <w:rPr>
                <w:rFonts w:ascii="Arial" w:cs="Arial" w:eastAsia="Times New Roman" w:hAnsi="Arial"/>
              </w:rPr>
              <w:t>5- 9</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635</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569</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1.204</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rPr>
            </w:pPr>
            <w:r>
              <w:rPr>
                <w:rFonts w:ascii="Arial" w:cs="Arial" w:eastAsia="Times New Roman" w:hAnsi="Arial"/>
              </w:rPr>
              <w:t>10 -14</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740</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605</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1.345</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15-19</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892</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672</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1.564</w:t>
            </w:r>
          </w:p>
        </w:tc>
      </w:tr>
      <w:tr>
        <w:tblPrEx/>
        <w:trPr>
          <w:trHeight w:val="449"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20-24</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935</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711</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1.646</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25-29</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760</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757</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1.517</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30-34</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1.115</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819</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1.934</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35-39</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916</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823</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1.739</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40-44</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830</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715</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1.545</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45-49</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756</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658</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1.414</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50-54</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757</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673</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1.430</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55-59</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781</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712</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1.493</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60-64</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651</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605</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1.256</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65-69</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507</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486</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993</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70-74</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354</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394</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748</w:t>
            </w:r>
          </w:p>
        </w:tc>
      </w:tr>
      <w:tr>
        <w:tblPrEx/>
        <w:trPr>
          <w:trHeight w:val="281"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75-79</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246</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268</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514</w:t>
            </w:r>
          </w:p>
        </w:tc>
      </w:tr>
      <w:tr>
        <w:tblPrEx/>
        <w:trPr>
          <w:trHeight w:val="533"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80 y MÁS</w:t>
            </w:r>
          </w:p>
        </w:tc>
        <w:tc>
          <w:tcPr>
            <w:tcW w:w="1094"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189</w:t>
            </w:r>
          </w:p>
        </w:tc>
        <w:tc>
          <w:tcPr>
            <w:tcW w:w="97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lang w:eastAsia="es-CO"/>
              </w:rPr>
            </w:pPr>
            <w:r>
              <w:rPr>
                <w:rFonts w:ascii="Arial" w:cs="Arial" w:eastAsia="Times New Roman" w:hAnsi="Arial"/>
                <w:lang w:eastAsia="es-CO"/>
              </w:rPr>
              <w:t>246</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435</w:t>
            </w:r>
          </w:p>
        </w:tc>
      </w:tr>
      <w:tr>
        <w:tblPrEx/>
        <w:trPr>
          <w:trHeight w:val="237" w:hRule="atLeast"/>
        </w:trPr>
        <w:tc>
          <w:tcPr>
            <w:tcW w:w="1769"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Total</w:t>
            </w:r>
          </w:p>
        </w:tc>
        <w:tc>
          <w:tcPr>
            <w:tcW w:w="1094" w:type="dxa"/>
            <w:tcBorders>
              <w:top w:val="nil"/>
              <w:left w:val="nil"/>
              <w:bottom w:val="single" w:sz="4" w:space="0" w:color="auto"/>
              <w:right w:val="single" w:sz="4" w:space="0" w:color="auto"/>
            </w:tcBorders>
            <w:shd w:val="clear" w:color="auto" w:fill="auto"/>
            <w:vAlign w:val="center"/>
            <w:hideMark/>
          </w:tcPr>
          <w:p>
            <w:pPr>
              <w:pStyle w:val="style0"/>
              <w:jc w:val="center"/>
              <w:rPr>
                <w:rFonts w:ascii="Arial" w:cs="Arial" w:hAnsi="Arial"/>
                <w:b/>
                <w:bCs/>
              </w:rPr>
            </w:pPr>
            <w:r>
              <w:rPr>
                <w:rFonts w:ascii="Arial" w:cs="Arial" w:hAnsi="Arial"/>
                <w:b/>
                <w:bCs/>
              </w:rPr>
              <w:t>11.610</w:t>
            </w:r>
          </w:p>
        </w:tc>
        <w:tc>
          <w:tcPr>
            <w:tcW w:w="972" w:type="dxa"/>
            <w:tcBorders>
              <w:top w:val="nil"/>
              <w:left w:val="nil"/>
              <w:bottom w:val="single" w:sz="4" w:space="0" w:color="auto"/>
              <w:right w:val="single" w:sz="4" w:space="0" w:color="auto"/>
            </w:tcBorders>
            <w:shd w:val="clear" w:color="auto" w:fill="auto"/>
            <w:vAlign w:val="center"/>
            <w:hideMark/>
          </w:tcPr>
          <w:p>
            <w:pPr>
              <w:pStyle w:val="style0"/>
              <w:jc w:val="center"/>
              <w:rPr>
                <w:rFonts w:ascii="Arial" w:cs="Arial" w:hAnsi="Arial"/>
                <w:b/>
                <w:bCs/>
              </w:rPr>
            </w:pPr>
            <w:r>
              <w:rPr>
                <w:rFonts w:ascii="Arial" w:cs="Arial" w:hAnsi="Arial"/>
                <w:b/>
                <w:bCs/>
              </w:rPr>
              <w:t>10.220</w:t>
            </w:r>
          </w:p>
        </w:tc>
        <w:tc>
          <w:tcPr>
            <w:tcW w:w="1122"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center"/>
              <w:rPr>
                <w:rFonts w:ascii="Arial" w:cs="Arial" w:eastAsia="Times New Roman" w:hAnsi="Arial"/>
                <w:b/>
                <w:bCs/>
                <w:lang w:eastAsia="es-CO"/>
              </w:rPr>
            </w:pPr>
            <w:r>
              <w:rPr>
                <w:rFonts w:ascii="Arial" w:cs="Arial" w:eastAsia="Times New Roman" w:hAnsi="Arial"/>
                <w:b/>
                <w:bCs/>
                <w:lang w:eastAsia="es-CO"/>
              </w:rPr>
              <w:t>21.830</w:t>
            </w:r>
          </w:p>
        </w:tc>
      </w:tr>
    </w:tbl>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center"/>
        <w:rPr>
          <w:rStyle w:val="style4099"/>
          <w:color w:val="auto"/>
          <w:sz w:val="16"/>
          <w:szCs w:val="16"/>
          <w:lang w:val="es-MX"/>
        </w:rPr>
      </w:pPr>
      <w:r>
        <w:rPr>
          <w:rStyle w:val="style4099"/>
          <w:color w:val="auto"/>
          <w:sz w:val="16"/>
          <w:szCs w:val="16"/>
          <w:lang w:val="es-MX"/>
        </w:rPr>
        <w:t>FUENTE: DANE 2018</w:t>
      </w:r>
    </w:p>
    <w:p>
      <w:pPr>
        <w:pStyle w:val="style94"/>
        <w:shd w:val="clear" w:color="auto" w:fill="ffffff"/>
        <w:spacing w:before="0" w:beforeAutospacing="false" w:after="150" w:afterAutospacing="false"/>
        <w:jc w:val="center"/>
        <w:rPr>
          <w:rStyle w:val="style4099"/>
          <w:color w:val="auto"/>
          <w:sz w:val="16"/>
          <w:szCs w:val="16"/>
          <w:lang w:val="es-MX"/>
        </w:rPr>
      </w:pPr>
    </w:p>
    <w:p>
      <w:pPr>
        <w:pStyle w:val="style94"/>
        <w:shd w:val="clear" w:color="auto" w:fill="ffffff"/>
        <w:spacing w:before="0" w:beforeAutospacing="false" w:after="150" w:afterAutospacing="false"/>
        <w:jc w:val="both"/>
        <w:rPr>
          <w:rStyle w:val="style4099"/>
          <w:color w:val="auto"/>
          <w:lang w:val="es-MX"/>
        </w:rPr>
      </w:pPr>
      <w:r>
        <w:rPr>
          <w:rFonts w:ascii="Arial" w:cs="Arial" w:hAnsi="Arial"/>
          <w:sz w:val="22"/>
          <w:szCs w:val="22"/>
        </w:rPr>
        <w:t>Al observar la pirámide poblacional de la localidad La Candelaria, muestra una acelerada transición demográfica con tendencia creciente al envejecimiento, en donde la proporción de la población adulta y adulta mayor crece más rápido, al tiempo que disminuye la base de la pirámide poblacional para los grupos de edad de menores de 15 años, con una marcada brecha entre el grupo quinquenal de 15 a 19 años respecto de los de 20 a 24 años de edad.</w:t>
      </w: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Fonts w:ascii="Arial" w:cs="Arial" w:hAnsi="Arial"/>
          <w:sz w:val="22"/>
          <w:szCs w:val="22"/>
        </w:rPr>
      </w:pPr>
      <w:r>
        <w:rPr>
          <w:rFonts w:ascii="Arial" w:cs="Arial" w:hAnsi="Arial"/>
          <w:sz w:val="22"/>
          <w:szCs w:val="22"/>
        </w:rPr>
        <w:t xml:space="preserve">Frente a la </w:t>
      </w:r>
      <w:r>
        <w:rPr>
          <w:rFonts w:ascii="Arial" w:cs="Arial" w:hAnsi="Arial"/>
          <w:sz w:val="22"/>
          <w:szCs w:val="22"/>
        </w:rPr>
        <w:t>p</w:t>
      </w:r>
      <w:r>
        <w:rPr>
          <w:rFonts w:ascii="Arial" w:cs="Arial" w:hAnsi="Arial"/>
          <w:sz w:val="22"/>
          <w:szCs w:val="22"/>
        </w:rPr>
        <w:t xml:space="preserve">obreza </w:t>
      </w:r>
      <w:r>
        <w:rPr>
          <w:rFonts w:ascii="Arial" w:cs="Arial" w:hAnsi="Arial"/>
          <w:sz w:val="22"/>
          <w:szCs w:val="22"/>
        </w:rPr>
        <w:t>m</w:t>
      </w:r>
      <w:r>
        <w:rPr>
          <w:rFonts w:ascii="Arial" w:cs="Arial" w:hAnsi="Arial"/>
          <w:sz w:val="22"/>
          <w:szCs w:val="22"/>
        </w:rPr>
        <w:t>ultidimensional, la localidad se encuentra en el puesto 11 de las 20 localidades del Distrito Capital, siendo una localidad que no cuenta con significativos sectores de bajo nivel socio - económico.</w:t>
      </w:r>
    </w:p>
    <w:p>
      <w:pPr>
        <w:pStyle w:val="style94"/>
        <w:shd w:val="clear" w:color="auto" w:fill="ffffff"/>
        <w:spacing w:before="0" w:beforeAutospacing="false" w:after="150" w:afterAutospacing="false"/>
        <w:jc w:val="both"/>
        <w:rPr>
          <w:rFonts w:ascii="Arial" w:cs="Arial" w:hAnsi="Arial"/>
          <w:sz w:val="22"/>
          <w:szCs w:val="22"/>
        </w:rPr>
      </w:pPr>
    </w:p>
    <w:p>
      <w:pPr>
        <w:pStyle w:val="style94"/>
        <w:shd w:val="clear" w:color="auto" w:fill="ffffff"/>
        <w:spacing w:before="0" w:beforeAutospacing="false" w:after="150" w:afterAutospacing="false"/>
        <w:jc w:val="both"/>
        <w:rPr>
          <w:rFonts w:ascii="Arial" w:cs="Arial" w:hAnsi="Arial"/>
          <w:sz w:val="22"/>
          <w:szCs w:val="22"/>
        </w:rPr>
      </w:pPr>
      <w:r>
        <w:rPr>
          <w:rFonts w:ascii="Arial" w:cs="Arial" w:hAnsi="Arial"/>
          <w:sz w:val="22"/>
          <w:szCs w:val="22"/>
        </w:rPr>
        <w:t xml:space="preserve">Según los resultados del Censo Nacional de Población y Vivienda (2018), el Departamento Administrativo Nacional de Estadísticas (DANE), reporta que en Colombia la población que se autorreconoce como indígena es de 1.905.617 personas, ubicándose en el Distrito Capital un número de 19.063 equivalente al </w:t>
      </w:r>
      <w:r>
        <w:rPr>
          <w:rFonts w:ascii="Arial" w:cs="Arial" w:hAnsi="Arial"/>
          <w:sz w:val="22"/>
          <w:szCs w:val="22"/>
        </w:rPr>
        <w:t xml:space="preserve">0,3% de la población total de Bogotá. Aunque no se cuenta con estadísticas plenamente confiables sobre el número de indígenas residentes en la localidad de La Candelaria, </w:t>
      </w:r>
      <w:r>
        <w:rPr>
          <w:rFonts w:ascii="Arial" w:cs="Arial" w:hAnsi="Arial"/>
          <w:sz w:val="22"/>
          <w:szCs w:val="22"/>
        </w:rPr>
        <w:t xml:space="preserve">por auto censo y las dinámicas organizativas </w:t>
      </w:r>
      <w:r>
        <w:rPr>
          <w:rFonts w:ascii="Arial" w:cs="Arial" w:hAnsi="Arial"/>
          <w:sz w:val="22"/>
          <w:szCs w:val="22"/>
        </w:rPr>
        <w:t xml:space="preserve">e históricas </w:t>
      </w:r>
      <w:r>
        <w:rPr>
          <w:rFonts w:ascii="Arial" w:cs="Arial" w:hAnsi="Arial"/>
          <w:sz w:val="22"/>
          <w:szCs w:val="22"/>
        </w:rPr>
        <w:t>propias de las comunidades y pueblos indígenas de la ciudad, ubican a La Candelaria, como una zona estratégica de ubicación de habitantes de la misma que se identifican como pueblos indígenas, lo que en marco de la plu</w:t>
      </w:r>
      <w:r>
        <w:rPr>
          <w:rFonts w:ascii="Arial" w:cs="Arial" w:hAnsi="Arial"/>
          <w:sz w:val="22"/>
          <w:szCs w:val="22"/>
        </w:rPr>
        <w:t>ral</w:t>
      </w:r>
      <w:r>
        <w:rPr>
          <w:rFonts w:ascii="Arial" w:cs="Arial" w:hAnsi="Arial"/>
          <w:sz w:val="22"/>
          <w:szCs w:val="22"/>
        </w:rPr>
        <w:t xml:space="preserve">idad étnica y cultural que caracterizan el estado colombiano, </w:t>
      </w:r>
      <w:r>
        <w:rPr>
          <w:rFonts w:ascii="Arial" w:cs="Arial" w:hAnsi="Arial"/>
          <w:sz w:val="22"/>
          <w:szCs w:val="22"/>
        </w:rPr>
        <w:t xml:space="preserve">demandan de las políticas públicas locales, el reconocimiento de </w:t>
      </w:r>
      <w:r>
        <w:rPr>
          <w:rFonts w:ascii="Arial" w:cs="Arial" w:hAnsi="Arial"/>
          <w:sz w:val="22"/>
          <w:szCs w:val="22"/>
        </w:rPr>
        <w:t>sus usos y cotumbres</w:t>
      </w:r>
      <w:r>
        <w:rPr>
          <w:rFonts w:ascii="Arial" w:cs="Arial" w:hAnsi="Arial"/>
          <w:sz w:val="22"/>
          <w:szCs w:val="22"/>
        </w:rPr>
        <w:t>, dentro de los que se incluye la medicina tradicional, como elementos estructurantes de la construcción de comunidad que tenga en cuenta el enfoque étnico y poblacional.</w:t>
      </w:r>
    </w:p>
    <w:p>
      <w:pPr>
        <w:pStyle w:val="style94"/>
        <w:shd w:val="clear" w:color="auto" w:fill="ffffff"/>
        <w:spacing w:before="0" w:beforeAutospacing="false" w:after="150" w:afterAutospacing="false"/>
        <w:jc w:val="both"/>
        <w:rPr>
          <w:rFonts w:ascii="Arial" w:cs="Arial" w:hAnsi="Arial"/>
          <w:sz w:val="22"/>
          <w:szCs w:val="22"/>
        </w:rPr>
      </w:pPr>
    </w:p>
    <w:p>
      <w:pPr>
        <w:pStyle w:val="style94"/>
        <w:shd w:val="clear" w:color="auto" w:fill="ffffff"/>
        <w:spacing w:before="0" w:beforeAutospacing="false" w:after="150" w:afterAutospacing="false"/>
        <w:jc w:val="both"/>
        <w:rPr>
          <w:rFonts w:ascii="Arial" w:cs="Arial" w:hAnsi="Arial"/>
          <w:sz w:val="22"/>
          <w:szCs w:val="22"/>
        </w:rPr>
      </w:pPr>
      <w:r>
        <w:rPr>
          <w:rFonts w:ascii="Arial" w:cs="Arial" w:hAnsi="Arial"/>
          <w:sz w:val="22"/>
          <w:szCs w:val="22"/>
        </w:rPr>
        <w:t xml:space="preserve"> </w:t>
      </w:r>
    </w:p>
    <w:p>
      <w:pPr>
        <w:pStyle w:val="style94"/>
        <w:shd w:val="clear" w:color="auto" w:fill="ffffff"/>
        <w:spacing w:before="0" w:beforeAutospacing="false" w:after="150" w:afterAutospacing="false"/>
        <w:jc w:val="both"/>
        <w:rPr>
          <w:rFonts w:ascii="Arial" w:cs="Arial" w:hAnsi="Arial"/>
          <w:noProof/>
          <w:sz w:val="22"/>
          <w:szCs w:val="22"/>
          <w:lang w:eastAsia="es-CO"/>
        </w:rPr>
      </w:pPr>
    </w:p>
    <w:p>
      <w:pPr>
        <w:pStyle w:val="style94"/>
        <w:shd w:val="clear" w:color="auto" w:fill="ffffff"/>
        <w:spacing w:before="0" w:beforeAutospacing="false" w:after="150" w:afterAutospacing="false"/>
        <w:jc w:val="both"/>
        <w:rPr>
          <w:rStyle w:val="style4099"/>
          <w:color w:val="auto"/>
        </w:rPr>
      </w:pPr>
      <w:r>
        <w:rPr>
          <w:rFonts w:ascii="Arial" w:cs="Arial" w:hAnsi="Arial"/>
          <w:noProof/>
          <w:sz w:val="22"/>
          <w:szCs w:val="22"/>
          <w:lang w:eastAsia="es-CO"/>
        </w:rPr>
        <w:drawing>
          <wp:inline distL="0" distT="0" distB="0" distR="0">
            <wp:extent cx="5362575" cy="3426887"/>
            <wp:effectExtent l="0" t="0" r="0" b="2540"/>
            <wp:docPr id="1029" name="Imagen 1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n 13"/>
                    <pic:cNvPicPr/>
                  </pic:nvPicPr>
                  <pic:blipFill>
                    <a:blip r:embed="rId7" cstate="print"/>
                    <a:srcRect l="25926" t="27769" r="23610" b="14873"/>
                    <a:stretch/>
                  </pic:blipFill>
                  <pic:spPr>
                    <a:xfrm rot="0">
                      <a:off x="0" y="0"/>
                      <a:ext cx="5362575" cy="3426887"/>
                    </a:xfrm>
                    <a:prstGeom prst="rect"/>
                    <a:ln>
                      <a:noFill/>
                    </a:ln>
                  </pic:spPr>
                </pic:pic>
              </a:graphicData>
            </a:graphic>
          </wp:inline>
        </w:drawing>
      </w:r>
    </w:p>
    <w:p>
      <w:pPr>
        <w:pStyle w:val="style94"/>
        <w:shd w:val="clear" w:color="auto" w:fill="ffffff"/>
        <w:spacing w:before="0" w:beforeAutospacing="false" w:after="150" w:afterAutospacing="false"/>
        <w:jc w:val="center"/>
        <w:rPr>
          <w:rStyle w:val="style4099"/>
          <w:color w:val="auto"/>
          <w:sz w:val="16"/>
          <w:szCs w:val="16"/>
          <w:lang w:val="es-MX"/>
        </w:rPr>
      </w:pPr>
      <w:r>
        <w:rPr>
          <w:rStyle w:val="style4099"/>
          <w:color w:val="auto"/>
          <w:sz w:val="16"/>
          <w:szCs w:val="16"/>
          <w:lang w:val="es-MX"/>
        </w:rPr>
        <w:t>FUENTE: INDICADORES DE DIAGN</w:t>
      </w:r>
      <w:r>
        <w:rPr>
          <w:rStyle w:val="style4099"/>
          <w:color w:val="auto"/>
          <w:sz w:val="16"/>
          <w:szCs w:val="16"/>
          <w:lang w:val="es-MX"/>
        </w:rPr>
        <w:t>Ó</w:t>
      </w:r>
      <w:r>
        <w:rPr>
          <w:rStyle w:val="style4099"/>
          <w:color w:val="auto"/>
          <w:sz w:val="16"/>
          <w:szCs w:val="16"/>
          <w:lang w:val="es-MX"/>
        </w:rPr>
        <w:t>STICO LOCAL PARA LAS COMPETENCIAS DEL</w:t>
      </w:r>
      <w:r>
        <w:rPr>
          <w:rStyle w:val="style4099"/>
          <w:color w:val="auto"/>
          <w:sz w:val="16"/>
          <w:szCs w:val="16"/>
          <w:lang w:val="es-MX"/>
        </w:rPr>
        <w:t xml:space="preserve"> </w:t>
      </w:r>
      <w:r>
        <w:rPr>
          <w:rStyle w:val="style4099"/>
          <w:color w:val="auto"/>
          <w:sz w:val="16"/>
          <w:szCs w:val="16"/>
          <w:lang w:val="es-MX"/>
        </w:rPr>
        <w:t>ACUERDO 740 DE 2019</w:t>
      </w:r>
    </w:p>
    <w:p>
      <w:pPr>
        <w:pStyle w:val="style94"/>
        <w:shd w:val="clear" w:color="auto" w:fill="ffffff"/>
        <w:spacing w:before="0" w:beforeAutospacing="false" w:after="150" w:afterAutospacing="false"/>
        <w:jc w:val="both"/>
        <w:rPr>
          <w:rStyle w:val="style4099"/>
          <w:color w:val="auto"/>
          <w:lang w:val="es-MX"/>
        </w:rPr>
      </w:pPr>
    </w:p>
    <w:p>
      <w:pPr>
        <w:pStyle w:val="style2"/>
        <w:rPr>
          <w:rStyle w:val="style4099"/>
          <w:color w:val="auto"/>
        </w:rPr>
      </w:pPr>
      <w:r>
        <w:rPr>
          <w:rStyle w:val="style4103"/>
          <w:rFonts w:ascii="Arial" w:cs="Arial" w:hAnsi="Arial"/>
          <w:color w:val="auto"/>
          <w:sz w:val="22"/>
          <w:szCs w:val="22"/>
        </w:rPr>
        <w:t> </w:t>
      </w:r>
      <w:bookmarkStart w:id="10" w:name="_Toc47364974"/>
      <w:bookmarkStart w:id="11" w:name="_Toc47477387"/>
      <w:r>
        <w:rPr>
          <w:rStyle w:val="style4103"/>
          <w:rFonts w:ascii="Arial" w:cs="Arial" w:hAnsi="Arial"/>
          <w:color w:val="auto"/>
          <w:sz w:val="22"/>
          <w:szCs w:val="22"/>
        </w:rPr>
        <w:t>DESCRIPCIÓN DE LA LOCALIDAD</w:t>
      </w:r>
      <w:r>
        <w:rPr>
          <w:rStyle w:val="style4099"/>
          <w:color w:val="auto"/>
        </w:rPr>
        <w:t>.</w:t>
      </w:r>
      <w:bookmarkEnd w:id="10"/>
      <w:bookmarkEnd w:id="11"/>
    </w:p>
    <w:p>
      <w:pPr>
        <w:pStyle w:val="style0"/>
        <w:jc w:val="both"/>
        <w:rPr>
          <w:rFonts w:ascii="Arial" w:cs="Arial" w:hAnsi="Arial"/>
          <w:lang w:val="es-MX"/>
        </w:rPr>
      </w:pPr>
    </w:p>
    <w:p>
      <w:pPr>
        <w:pStyle w:val="style94"/>
        <w:shd w:val="clear" w:color="auto" w:fill="ffffff"/>
        <w:spacing w:before="0" w:beforeAutospacing="false" w:after="150" w:afterAutospacing="false"/>
        <w:jc w:val="both"/>
        <w:rPr>
          <w:rStyle w:val="style4099"/>
          <w:color w:val="auto"/>
          <w:lang w:val="es-MX"/>
        </w:rPr>
      </w:pPr>
      <w:r>
        <w:rPr>
          <w:rStyle w:val="style4099"/>
          <w:color w:val="auto"/>
          <w:lang w:val="es-MX"/>
        </w:rPr>
        <w:t>Para el Plan de Ordenamiento Territorial</w:t>
      </w:r>
      <w:r>
        <w:rPr>
          <w:rStyle w:val="style4099"/>
          <w:color w:val="auto"/>
          <w:lang w:val="es-MX"/>
        </w:rPr>
        <w:t>,</w:t>
      </w:r>
      <w:r>
        <w:rPr>
          <w:rStyle w:val="style4099"/>
          <w:color w:val="auto"/>
          <w:lang w:val="es-MX"/>
        </w:rPr>
        <w:t xml:space="preserve"> La Candelaria es una localidad céntrica por excelencia y es desde esta perspectiva que se debe dar el manejo de su imagen deseable y de su entorno a futuro, con el fin de consolidarla en concordancia con la ciudad, su estructura y sus operaciones estratégicas deben dar respuesta a </w:t>
      </w:r>
      <w:r>
        <w:rPr>
          <w:rStyle w:val="style4099"/>
          <w:color w:val="auto"/>
          <w:lang w:val="es-MX"/>
        </w:rPr>
        <w:t xml:space="preserve">sus contenidos </w:t>
      </w:r>
      <w:r>
        <w:rPr>
          <w:rStyle w:val="style4099"/>
          <w:color w:val="auto"/>
          <w:lang w:val="es-MX"/>
        </w:rPr>
        <w:t>en materia ambiental, social, económica, territorial y administrativa.</w:t>
      </w:r>
    </w:p>
    <w:p>
      <w:pPr>
        <w:pStyle w:val="style94"/>
        <w:shd w:val="clear" w:color="auto" w:fill="ffffff"/>
        <w:spacing w:before="0" w:beforeAutospacing="false" w:after="150" w:afterAutospacing="false"/>
        <w:jc w:val="both"/>
        <w:rPr>
          <w:rStyle w:val="style4099"/>
          <w:color w:val="auto"/>
          <w:lang w:val="es-MX"/>
        </w:rPr>
      </w:pPr>
      <w:r>
        <w:rPr>
          <w:rStyle w:val="style4099"/>
          <w:color w:val="auto"/>
          <w:lang w:val="es-MX"/>
        </w:rPr>
        <w:t>Como descripción del entorno que hace parte fundamental de una localidad global, encontramos que La Candelaria es territorio central por excelencia; su única UPZ es de carácter dotacional, predominante, la clase económica baja que no sobrepasa el estrato 3. Sin embargo, existen factores atenuantes de esta situación, ya que debido a su connotación de patrimonio histórico y cultural se da el beneficio de una estratificación baja para el pago de impuestos y servicios.</w:t>
      </w:r>
    </w:p>
    <w:p>
      <w:pPr>
        <w:pStyle w:val="style94"/>
        <w:shd w:val="clear" w:color="auto" w:fill="ffffff"/>
        <w:spacing w:before="0" w:beforeAutospacing="false" w:after="150" w:afterAutospacing="false"/>
        <w:jc w:val="both"/>
        <w:rPr>
          <w:rStyle w:val="style4099"/>
          <w:color w:val="auto"/>
          <w:lang w:val="es-MX"/>
        </w:rPr>
      </w:pPr>
      <w:r>
        <w:rPr>
          <w:rStyle w:val="style4099"/>
          <w:color w:val="auto"/>
          <w:lang w:val="es-MX"/>
        </w:rPr>
        <w:t>En su infraestructura, está compuesta por 75 kilómetros de vías de los cuales posee una centralidad y una operación estratégica denominadas "</w:t>
      </w:r>
      <w:r>
        <w:rPr>
          <w:rStyle w:val="style4099"/>
          <w:color w:val="auto"/>
          <w:lang w:val="es-MX"/>
        </w:rPr>
        <w:t>C</w:t>
      </w:r>
      <w:r>
        <w:rPr>
          <w:rStyle w:val="style4099"/>
          <w:color w:val="auto"/>
          <w:lang w:val="es-MX"/>
        </w:rPr>
        <w:t xml:space="preserve">entralidad </w:t>
      </w:r>
      <w:r>
        <w:rPr>
          <w:rStyle w:val="style4099"/>
          <w:color w:val="auto"/>
          <w:lang w:val="es-MX"/>
        </w:rPr>
        <w:t>C</w:t>
      </w:r>
      <w:r>
        <w:rPr>
          <w:rStyle w:val="style4099"/>
          <w:color w:val="auto"/>
          <w:lang w:val="es-MX"/>
        </w:rPr>
        <w:t xml:space="preserve">entro </w:t>
      </w:r>
      <w:r>
        <w:rPr>
          <w:rStyle w:val="style4099"/>
          <w:color w:val="auto"/>
          <w:lang w:val="es-MX"/>
        </w:rPr>
        <w:t>H</w:t>
      </w:r>
      <w:r>
        <w:rPr>
          <w:rStyle w:val="style4099"/>
          <w:color w:val="auto"/>
          <w:lang w:val="es-MX"/>
        </w:rPr>
        <w:t xml:space="preserve">istórico - </w:t>
      </w:r>
      <w:r>
        <w:rPr>
          <w:rStyle w:val="style4099"/>
          <w:color w:val="auto"/>
          <w:lang w:val="es-MX"/>
        </w:rPr>
        <w:t>C</w:t>
      </w:r>
      <w:r>
        <w:rPr>
          <w:rStyle w:val="style4099"/>
          <w:color w:val="auto"/>
          <w:lang w:val="es-MX"/>
        </w:rPr>
        <w:t xml:space="preserve">entro </w:t>
      </w:r>
      <w:r>
        <w:rPr>
          <w:rStyle w:val="style4099"/>
          <w:color w:val="auto"/>
          <w:lang w:val="es-MX"/>
        </w:rPr>
        <w:t>I</w:t>
      </w:r>
      <w:r>
        <w:rPr>
          <w:rStyle w:val="style4099"/>
          <w:color w:val="auto"/>
          <w:lang w:val="es-MX"/>
        </w:rPr>
        <w:t>nternacional”, cuya directriz principal es la de proteger el patrimonio cultural y promover la renovación urbana.</w:t>
      </w:r>
    </w:p>
    <w:p>
      <w:pPr>
        <w:pStyle w:val="style94"/>
        <w:shd w:val="clear" w:color="auto" w:fill="ffffff"/>
        <w:spacing w:before="0" w:beforeAutospacing="false" w:after="150" w:afterAutospacing="false"/>
        <w:jc w:val="both"/>
        <w:rPr>
          <w:rStyle w:val="style4099"/>
          <w:color w:val="auto"/>
          <w:lang w:val="es-MX"/>
        </w:rPr>
      </w:pPr>
    </w:p>
    <w:p>
      <w:pPr>
        <w:pStyle w:val="style0"/>
        <w:jc w:val="both"/>
        <w:rPr>
          <w:rFonts w:ascii="Arial" w:cs="Arial" w:hAnsi="Arial"/>
        </w:rPr>
      </w:pPr>
      <w:r>
        <w:rPr>
          <w:rFonts w:ascii="Arial" w:cs="Arial" w:hAnsi="Arial"/>
        </w:rPr>
        <w:t xml:space="preserve">El Fondo de Desarrollo Local de La Candelaria ha contado en los últimos cuatro años con el siguiente Presupuesto Anual de Ingresos, el cual se ha fijado por medio de los </w:t>
      </w:r>
      <w:r>
        <w:rPr>
          <w:rFonts w:ascii="Arial" w:cs="Arial" w:hAnsi="Arial"/>
        </w:rPr>
        <w:t>d</w:t>
      </w:r>
      <w:r>
        <w:rPr>
          <w:rFonts w:ascii="Arial" w:cs="Arial" w:hAnsi="Arial"/>
        </w:rPr>
        <w:t xml:space="preserve">ecretos </w:t>
      </w:r>
      <w:r>
        <w:rPr>
          <w:rFonts w:ascii="Arial" w:cs="Arial" w:hAnsi="Arial"/>
        </w:rPr>
        <w:t>l</w:t>
      </w:r>
      <w:r>
        <w:rPr>
          <w:rFonts w:ascii="Arial" w:cs="Arial" w:hAnsi="Arial"/>
        </w:rPr>
        <w:t>ocales No 020 de 2016, 014 de 2017 010 de 2018 y 018 de 2019 para las vigencias fiscales respectivas de la siguiente manera:</w:t>
      </w:r>
    </w:p>
    <w:p>
      <w:pPr>
        <w:pStyle w:val="style0"/>
        <w:jc w:val="both"/>
        <w:rPr>
          <w:rFonts w:ascii="Arial" w:cs="Arial" w:hAnsi="Arial"/>
        </w:rPr>
      </w:pPr>
    </w:p>
    <w:tbl>
      <w:tblPr>
        <w:tblW w:w="8775" w:type="dxa"/>
        <w:tblInd w:w="55" w:type="dxa"/>
        <w:tblCellMar>
          <w:left w:w="70" w:type="dxa"/>
          <w:right w:w="70" w:type="dxa"/>
        </w:tblCellMar>
        <w:tblLook w:val="04A0" w:firstRow="1" w:lastRow="0" w:firstColumn="1" w:lastColumn="0" w:noHBand="0" w:noVBand="1"/>
      </w:tblPr>
      <w:tblGrid>
        <w:gridCol w:w="1996"/>
        <w:gridCol w:w="1694"/>
        <w:gridCol w:w="1694"/>
        <w:gridCol w:w="1694"/>
        <w:gridCol w:w="1697"/>
      </w:tblGrid>
      <w:tr>
        <w:trPr>
          <w:trHeight w:val="248" w:hRule="atLeast"/>
        </w:trPr>
        <w:tc>
          <w:tcPr>
            <w:tcW w:w="199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pPr>
              <w:pStyle w:val="style0"/>
              <w:spacing w:after="0" w:lineRule="auto" w:line="240"/>
              <w:jc w:val="center"/>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CONCEPTO</w:t>
            </w:r>
          </w:p>
        </w:tc>
        <w:tc>
          <w:tcPr>
            <w:tcW w:w="6779" w:type="dxa"/>
            <w:gridSpan w:val="4"/>
            <w:tcBorders>
              <w:top w:val="single" w:sz="4" w:space="0" w:color="auto"/>
              <w:left w:val="nil"/>
              <w:bottom w:val="single" w:sz="4" w:space="0" w:color="auto"/>
              <w:right w:val="single" w:sz="4" w:space="0" w:color="auto"/>
            </w:tcBorders>
            <w:shd w:val="clear" w:color="000000" w:fill="bfbfbf"/>
            <w:noWrap/>
            <w:vAlign w:val="bottom"/>
            <w:hideMark/>
          </w:tcPr>
          <w:p>
            <w:pPr>
              <w:pStyle w:val="style0"/>
              <w:spacing w:after="0" w:lineRule="auto" w:line="240"/>
              <w:jc w:val="center"/>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VIGENCIA</w:t>
            </w:r>
          </w:p>
        </w:tc>
      </w:tr>
      <w:tr>
        <w:tblPrEx/>
        <w:trPr>
          <w:trHeight w:val="248" w:hRule="atLeast"/>
        </w:trPr>
        <w:tc>
          <w:tcPr>
            <w:tcW w:w="1996"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after="0" w:lineRule="auto" w:line="240"/>
              <w:rPr>
                <w:rFonts w:ascii="Arial" w:cs="Arial" w:eastAsia="Times New Roman" w:hAnsi="Arial"/>
                <w:b/>
                <w:color w:val="000000"/>
                <w:sz w:val="18"/>
                <w:szCs w:val="18"/>
                <w:lang w:eastAsia="es-CO"/>
              </w:rPr>
            </w:pPr>
          </w:p>
        </w:tc>
        <w:tc>
          <w:tcPr>
            <w:tcW w:w="1694" w:type="dxa"/>
            <w:tcBorders>
              <w:top w:val="nil"/>
              <w:left w:val="nil"/>
              <w:bottom w:val="single" w:sz="4" w:space="0" w:color="auto"/>
              <w:right w:val="single" w:sz="4" w:space="0" w:color="auto"/>
            </w:tcBorders>
            <w:shd w:val="clear" w:color="000000" w:fill="bfbfbf"/>
            <w:noWrap/>
            <w:vAlign w:val="bottom"/>
            <w:hideMark/>
          </w:tcPr>
          <w:p>
            <w:pPr>
              <w:pStyle w:val="style0"/>
              <w:spacing w:after="0" w:lineRule="auto" w:line="240"/>
              <w:jc w:val="center"/>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2017</w:t>
            </w:r>
          </w:p>
        </w:tc>
        <w:tc>
          <w:tcPr>
            <w:tcW w:w="1694" w:type="dxa"/>
            <w:tcBorders>
              <w:top w:val="nil"/>
              <w:left w:val="nil"/>
              <w:bottom w:val="single" w:sz="4" w:space="0" w:color="auto"/>
              <w:right w:val="single" w:sz="4" w:space="0" w:color="auto"/>
            </w:tcBorders>
            <w:shd w:val="clear" w:color="000000" w:fill="bfbfbf"/>
            <w:noWrap/>
            <w:vAlign w:val="bottom"/>
            <w:hideMark/>
          </w:tcPr>
          <w:p>
            <w:pPr>
              <w:pStyle w:val="style0"/>
              <w:spacing w:after="0" w:lineRule="auto" w:line="240"/>
              <w:jc w:val="center"/>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2018</w:t>
            </w:r>
          </w:p>
        </w:tc>
        <w:tc>
          <w:tcPr>
            <w:tcW w:w="1694" w:type="dxa"/>
            <w:tcBorders>
              <w:top w:val="nil"/>
              <w:left w:val="nil"/>
              <w:bottom w:val="single" w:sz="4" w:space="0" w:color="auto"/>
              <w:right w:val="single" w:sz="4" w:space="0" w:color="auto"/>
            </w:tcBorders>
            <w:shd w:val="clear" w:color="000000" w:fill="bfbfbf"/>
            <w:noWrap/>
            <w:vAlign w:val="bottom"/>
            <w:hideMark/>
          </w:tcPr>
          <w:p>
            <w:pPr>
              <w:pStyle w:val="style0"/>
              <w:spacing w:after="0" w:lineRule="auto" w:line="240"/>
              <w:jc w:val="center"/>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2019</w:t>
            </w:r>
          </w:p>
        </w:tc>
        <w:tc>
          <w:tcPr>
            <w:tcW w:w="1697" w:type="dxa"/>
            <w:tcBorders>
              <w:top w:val="nil"/>
              <w:left w:val="nil"/>
              <w:bottom w:val="single" w:sz="4" w:space="0" w:color="auto"/>
              <w:right w:val="single" w:sz="4" w:space="0" w:color="auto"/>
            </w:tcBorders>
            <w:shd w:val="clear" w:color="000000" w:fill="bfbfbf"/>
            <w:noWrap/>
            <w:vAlign w:val="bottom"/>
            <w:hideMark/>
          </w:tcPr>
          <w:p>
            <w:pPr>
              <w:pStyle w:val="style0"/>
              <w:spacing w:after="0" w:lineRule="auto" w:line="240"/>
              <w:jc w:val="center"/>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2020</w:t>
            </w:r>
          </w:p>
        </w:tc>
      </w:tr>
      <w:tr>
        <w:tblPrEx/>
        <w:trPr>
          <w:trHeight w:val="248" w:hRule="atLeast"/>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pPr>
              <w:pStyle w:val="style0"/>
              <w:spacing w:after="0" w:lineRule="auto" w:line="240"/>
              <w:rPr>
                <w:rFonts w:ascii="Arial" w:cs="Arial" w:eastAsia="Times New Roman" w:hAnsi="Arial"/>
                <w:color w:val="000000"/>
                <w:sz w:val="18"/>
                <w:szCs w:val="18"/>
                <w:lang w:eastAsia="es-CO"/>
              </w:rPr>
            </w:pPr>
            <w:r>
              <w:rPr>
                <w:rFonts w:ascii="Arial" w:cs="Arial" w:eastAsia="Times New Roman" w:hAnsi="Arial"/>
                <w:color w:val="000000"/>
                <w:sz w:val="18"/>
                <w:szCs w:val="18"/>
                <w:lang w:eastAsia="es-CO"/>
              </w:rPr>
              <w:t>INVERSION</w:t>
            </w:r>
          </w:p>
        </w:tc>
        <w:tc>
          <w:tcPr>
            <w:tcW w:w="1694"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18"/>
                <w:szCs w:val="18"/>
                <w:lang w:eastAsia="es-CO"/>
              </w:rPr>
            </w:pPr>
            <w:r>
              <w:rPr>
                <w:rFonts w:ascii="Arial" w:cs="Arial" w:eastAsia="Times New Roman" w:hAnsi="Arial"/>
                <w:color w:val="000000"/>
                <w:sz w:val="18"/>
                <w:szCs w:val="18"/>
                <w:lang w:eastAsia="es-CO"/>
              </w:rPr>
              <w:t>$ 25.686.553.000</w:t>
            </w:r>
          </w:p>
        </w:tc>
        <w:tc>
          <w:tcPr>
            <w:tcW w:w="1694"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18"/>
                <w:szCs w:val="18"/>
                <w:lang w:eastAsia="es-CO"/>
              </w:rPr>
            </w:pPr>
            <w:r>
              <w:rPr>
                <w:rFonts w:ascii="Arial" w:cs="Arial" w:eastAsia="Times New Roman" w:hAnsi="Arial"/>
                <w:color w:val="000000"/>
                <w:sz w:val="18"/>
                <w:szCs w:val="18"/>
                <w:lang w:eastAsia="es-CO"/>
              </w:rPr>
              <w:t>$ 22.946.949.000</w:t>
            </w:r>
          </w:p>
        </w:tc>
        <w:tc>
          <w:tcPr>
            <w:tcW w:w="1694"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18"/>
                <w:szCs w:val="18"/>
                <w:lang w:eastAsia="es-CO"/>
              </w:rPr>
            </w:pPr>
            <w:r>
              <w:rPr>
                <w:rFonts w:ascii="Arial" w:cs="Arial" w:eastAsia="Times New Roman" w:hAnsi="Arial"/>
                <w:color w:val="000000"/>
                <w:sz w:val="18"/>
                <w:szCs w:val="18"/>
                <w:lang w:eastAsia="es-CO"/>
              </w:rPr>
              <w:t>$ 25.500.733.000</w:t>
            </w:r>
          </w:p>
        </w:tc>
        <w:tc>
          <w:tcPr>
            <w:tcW w:w="1697"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18"/>
                <w:szCs w:val="18"/>
                <w:lang w:eastAsia="es-CO"/>
              </w:rPr>
            </w:pPr>
            <w:r>
              <w:rPr>
                <w:rFonts w:ascii="Arial" w:cs="Arial" w:eastAsia="Times New Roman" w:hAnsi="Arial"/>
                <w:color w:val="000000"/>
                <w:sz w:val="18"/>
                <w:szCs w:val="18"/>
                <w:lang w:eastAsia="es-CO"/>
              </w:rPr>
              <w:t>$ 23.607.448.000</w:t>
            </w:r>
          </w:p>
        </w:tc>
      </w:tr>
      <w:tr>
        <w:tblPrEx/>
        <w:trPr>
          <w:trHeight w:val="248" w:hRule="atLeast"/>
        </w:trPr>
        <w:tc>
          <w:tcPr>
            <w:tcW w:w="1996" w:type="dxa"/>
            <w:tcBorders>
              <w:top w:val="nil"/>
              <w:left w:val="single" w:sz="4" w:space="0" w:color="auto"/>
              <w:bottom w:val="single" w:sz="4" w:space="0" w:color="auto"/>
              <w:right w:val="single" w:sz="4" w:space="0" w:color="auto"/>
            </w:tcBorders>
            <w:shd w:val="clear" w:color="auto" w:fill="auto"/>
            <w:noWrap/>
            <w:vAlign w:val="bottom"/>
            <w:hideMark/>
          </w:tcPr>
          <w:p>
            <w:pPr>
              <w:pStyle w:val="style0"/>
              <w:spacing w:after="0" w:lineRule="auto" w:line="240"/>
              <w:rPr>
                <w:rFonts w:ascii="Arial" w:cs="Arial" w:eastAsia="Times New Roman" w:hAnsi="Arial"/>
                <w:color w:val="000000"/>
                <w:sz w:val="18"/>
                <w:szCs w:val="18"/>
                <w:lang w:eastAsia="es-CO"/>
              </w:rPr>
            </w:pPr>
            <w:r>
              <w:rPr>
                <w:rFonts w:ascii="Arial" w:cs="Arial" w:eastAsia="Times New Roman" w:hAnsi="Arial"/>
                <w:color w:val="000000"/>
                <w:sz w:val="18"/>
                <w:szCs w:val="18"/>
                <w:lang w:eastAsia="es-CO"/>
              </w:rPr>
              <w:t>FUNCIONAMIENTO</w:t>
            </w:r>
          </w:p>
        </w:tc>
        <w:tc>
          <w:tcPr>
            <w:tcW w:w="1694"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18"/>
                <w:szCs w:val="18"/>
                <w:lang w:eastAsia="es-CO"/>
              </w:rPr>
            </w:pPr>
            <w:r>
              <w:rPr>
                <w:rFonts w:ascii="Arial" w:cs="Arial" w:eastAsia="Times New Roman" w:hAnsi="Arial"/>
                <w:color w:val="000000"/>
                <w:sz w:val="18"/>
                <w:szCs w:val="18"/>
                <w:lang w:eastAsia="es-CO"/>
              </w:rPr>
              <w:t>$ 1.956.639.000</w:t>
            </w:r>
          </w:p>
        </w:tc>
        <w:tc>
          <w:tcPr>
            <w:tcW w:w="1694"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18"/>
                <w:szCs w:val="18"/>
                <w:lang w:eastAsia="es-CO"/>
              </w:rPr>
            </w:pPr>
            <w:r>
              <w:rPr>
                <w:rFonts w:ascii="Arial" w:cs="Arial" w:eastAsia="Times New Roman" w:hAnsi="Arial"/>
                <w:color w:val="000000"/>
                <w:sz w:val="18"/>
                <w:szCs w:val="18"/>
                <w:lang w:eastAsia="es-CO"/>
              </w:rPr>
              <w:t>$ 2.341.506.000</w:t>
            </w:r>
          </w:p>
        </w:tc>
        <w:tc>
          <w:tcPr>
            <w:tcW w:w="1694"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18"/>
                <w:szCs w:val="18"/>
                <w:lang w:eastAsia="es-CO"/>
              </w:rPr>
            </w:pPr>
            <w:r>
              <w:rPr>
                <w:rFonts w:ascii="Arial" w:cs="Arial" w:eastAsia="Times New Roman" w:hAnsi="Arial"/>
                <w:color w:val="000000"/>
                <w:sz w:val="18"/>
                <w:szCs w:val="18"/>
                <w:lang w:eastAsia="es-CO"/>
              </w:rPr>
              <w:t>$ 2.750.739.000</w:t>
            </w:r>
          </w:p>
        </w:tc>
        <w:tc>
          <w:tcPr>
            <w:tcW w:w="1697"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18"/>
                <w:szCs w:val="18"/>
                <w:lang w:eastAsia="es-CO"/>
              </w:rPr>
            </w:pPr>
            <w:r>
              <w:rPr>
                <w:rFonts w:ascii="Arial" w:cs="Arial" w:eastAsia="Times New Roman" w:hAnsi="Arial"/>
                <w:color w:val="000000"/>
                <w:sz w:val="18"/>
                <w:szCs w:val="18"/>
                <w:lang w:eastAsia="es-CO"/>
              </w:rPr>
              <w:t>$ 3.228.000.000</w:t>
            </w:r>
          </w:p>
        </w:tc>
      </w:tr>
      <w:tr>
        <w:tblPrEx/>
        <w:trPr>
          <w:trHeight w:val="669" w:hRule="atLeast"/>
        </w:trPr>
        <w:tc>
          <w:tcPr>
            <w:tcW w:w="1996" w:type="dxa"/>
            <w:tcBorders>
              <w:top w:val="nil"/>
              <w:left w:val="single" w:sz="4" w:space="0" w:color="auto"/>
              <w:bottom w:val="single" w:sz="4" w:space="0" w:color="auto"/>
              <w:right w:val="single" w:sz="4" w:space="0" w:color="auto"/>
            </w:tcBorders>
            <w:shd w:val="clear" w:color="000000" w:fill="bfbfbf"/>
            <w:vAlign w:val="bottom"/>
            <w:hideMark/>
          </w:tcPr>
          <w:p>
            <w:pPr>
              <w:pStyle w:val="style0"/>
              <w:spacing w:after="0" w:lineRule="auto" w:line="240"/>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TOTAL INGRESOS + DISPONIBILIDAD INICIAL</w:t>
            </w:r>
          </w:p>
        </w:tc>
        <w:tc>
          <w:tcPr>
            <w:tcW w:w="1694" w:type="dxa"/>
            <w:tcBorders>
              <w:top w:val="nil"/>
              <w:left w:val="nil"/>
              <w:bottom w:val="single" w:sz="4" w:space="0" w:color="auto"/>
              <w:right w:val="single" w:sz="4" w:space="0" w:color="auto"/>
            </w:tcBorders>
            <w:shd w:val="clear" w:color="000000" w:fill="bfbfbf"/>
            <w:noWrap/>
            <w:vAlign w:val="center"/>
            <w:hideMark/>
          </w:tcPr>
          <w:p>
            <w:pPr>
              <w:pStyle w:val="style0"/>
              <w:spacing w:after="0" w:lineRule="auto" w:line="240"/>
              <w:jc w:val="right"/>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$ 27.643.192.000</w:t>
            </w:r>
          </w:p>
        </w:tc>
        <w:tc>
          <w:tcPr>
            <w:tcW w:w="1694" w:type="dxa"/>
            <w:tcBorders>
              <w:top w:val="nil"/>
              <w:left w:val="nil"/>
              <w:bottom w:val="single" w:sz="4" w:space="0" w:color="auto"/>
              <w:right w:val="single" w:sz="4" w:space="0" w:color="auto"/>
            </w:tcBorders>
            <w:shd w:val="clear" w:color="000000" w:fill="bfbfbf"/>
            <w:noWrap/>
            <w:vAlign w:val="center"/>
            <w:hideMark/>
          </w:tcPr>
          <w:p>
            <w:pPr>
              <w:pStyle w:val="style0"/>
              <w:spacing w:after="0" w:lineRule="auto" w:line="240"/>
              <w:jc w:val="right"/>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$ 25.288.455.000</w:t>
            </w:r>
          </w:p>
        </w:tc>
        <w:tc>
          <w:tcPr>
            <w:tcW w:w="1694" w:type="dxa"/>
            <w:tcBorders>
              <w:top w:val="nil"/>
              <w:left w:val="nil"/>
              <w:bottom w:val="single" w:sz="4" w:space="0" w:color="auto"/>
              <w:right w:val="single" w:sz="4" w:space="0" w:color="auto"/>
            </w:tcBorders>
            <w:shd w:val="clear" w:color="000000" w:fill="bfbfbf"/>
            <w:noWrap/>
            <w:vAlign w:val="center"/>
            <w:hideMark/>
          </w:tcPr>
          <w:p>
            <w:pPr>
              <w:pStyle w:val="style0"/>
              <w:spacing w:after="0" w:lineRule="auto" w:line="240"/>
              <w:jc w:val="right"/>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$ 28.251.472.000</w:t>
            </w:r>
          </w:p>
        </w:tc>
        <w:tc>
          <w:tcPr>
            <w:tcW w:w="1697" w:type="dxa"/>
            <w:tcBorders>
              <w:top w:val="nil"/>
              <w:left w:val="nil"/>
              <w:bottom w:val="single" w:sz="4" w:space="0" w:color="auto"/>
              <w:right w:val="single" w:sz="4" w:space="0" w:color="auto"/>
            </w:tcBorders>
            <w:shd w:val="clear" w:color="000000" w:fill="bfbfbf"/>
            <w:noWrap/>
            <w:vAlign w:val="center"/>
            <w:hideMark/>
          </w:tcPr>
          <w:p>
            <w:pPr>
              <w:pStyle w:val="style0"/>
              <w:spacing w:after="0" w:lineRule="auto" w:line="240"/>
              <w:jc w:val="right"/>
              <w:rPr>
                <w:rFonts w:ascii="Arial" w:cs="Arial" w:eastAsia="Times New Roman" w:hAnsi="Arial"/>
                <w:b/>
                <w:color w:val="000000"/>
                <w:sz w:val="18"/>
                <w:szCs w:val="18"/>
                <w:lang w:eastAsia="es-CO"/>
              </w:rPr>
            </w:pPr>
            <w:r>
              <w:rPr>
                <w:rFonts w:ascii="Arial" w:cs="Arial" w:eastAsia="Times New Roman" w:hAnsi="Arial"/>
                <w:b/>
                <w:color w:val="000000"/>
                <w:sz w:val="18"/>
                <w:szCs w:val="18"/>
                <w:lang w:eastAsia="es-CO"/>
              </w:rPr>
              <w:t>$ 26.835.448.000</w:t>
            </w:r>
          </w:p>
        </w:tc>
      </w:tr>
    </w:tbl>
    <w:p>
      <w:pPr>
        <w:pStyle w:val="style0"/>
        <w:shd w:val="clear" w:color="auto" w:fill="ffffff"/>
        <w:spacing w:after="0" w:lineRule="auto" w:line="240"/>
        <w:jc w:val="both"/>
        <w:rPr>
          <w:rFonts w:ascii="Arial" w:cs="Arial" w:hAnsi="Arial"/>
          <w:color w:val="000000"/>
          <w:sz w:val="16"/>
          <w:szCs w:val="16"/>
          <w:shd w:val="clear" w:color="auto" w:fill="ffffff"/>
        </w:rPr>
      </w:pPr>
      <w:r>
        <w:rPr>
          <w:rFonts w:ascii="Arial" w:cs="Arial" w:hAnsi="Arial"/>
          <w:color w:val="000000"/>
          <w:sz w:val="16"/>
          <w:szCs w:val="16"/>
          <w:shd w:val="clear" w:color="auto" w:fill="ffffff"/>
        </w:rPr>
        <w:t>Fuente: Decretos de Liquidación del Presupuesto Anual para el Fondo de Desarrollo Local de La Candelaria.</w:t>
      </w: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p>
    <w:p>
      <w:pPr>
        <w:pStyle w:val="style94"/>
        <w:shd w:val="clear" w:color="auto" w:fill="ffffff"/>
        <w:spacing w:before="0" w:beforeAutospacing="false" w:after="150" w:afterAutospacing="false"/>
        <w:jc w:val="both"/>
        <w:rPr>
          <w:rStyle w:val="style4099"/>
          <w:color w:val="auto"/>
          <w:lang w:val="es-MX"/>
        </w:rPr>
      </w:pPr>
      <w:r>
        <w:rPr>
          <w:rStyle w:val="style4099"/>
          <w:color w:val="auto"/>
          <w:lang w:val="es-MX"/>
        </w:rPr>
        <w:t>ESTADO DE LA LOCALIDAD  FRENTE AL COVID 19</w:t>
      </w:r>
    </w:p>
    <w:p>
      <w:pPr>
        <w:pStyle w:val="style94"/>
        <w:shd w:val="clear" w:color="auto" w:fill="ffffff"/>
        <w:spacing w:before="0" w:beforeAutospacing="false" w:after="150" w:afterAutospacing="false"/>
        <w:jc w:val="both"/>
        <w:rPr>
          <w:rStyle w:val="style4099"/>
          <w:color w:val="auto"/>
          <w:lang w:val="es-MX"/>
        </w:rPr>
      </w:pPr>
    </w:p>
    <w:p>
      <w:pPr>
        <w:pStyle w:val="style0"/>
        <w:spacing w:lineRule="auto" w:line="276"/>
        <w:jc w:val="both"/>
        <w:rPr>
          <w:rFonts w:ascii="Arial" w:cs="Arial" w:hAnsi="Arial"/>
        </w:rPr>
      </w:pPr>
      <w:r>
        <w:rPr>
          <w:rFonts w:ascii="Arial" w:cs="Arial" w:hAnsi="Arial"/>
        </w:rPr>
        <w:t xml:space="preserve">Desde la alerta nacional por COVID-19, la </w:t>
      </w:r>
      <w:r>
        <w:rPr>
          <w:rFonts w:ascii="Arial" w:cs="Arial" w:hAnsi="Arial"/>
          <w:bCs/>
        </w:rPr>
        <w:t>Sub Red Integrada de Servicios de Salud Centro Oriente - SISSCO</w:t>
      </w:r>
      <w:r>
        <w:rPr>
          <w:rFonts w:ascii="Arial" w:cs="Arial" w:hAnsi="Arial"/>
        </w:rPr>
        <w:t xml:space="preserve"> cuenta con un total de 20.071 casos asignados como probables, reportados por localidad de residencia a los cuales se les ha realizado seguimiento a sus contactos y toma de muestra en caso de haberse requerido, de igual manera, en el presente informe se relacionan específicamente los casos positivos, su distribución a nivel de localidad, UPZ, y barrio, así como los seguimientos realizados por el equipo de Vigilancia </w:t>
      </w:r>
      <w:r>
        <w:rPr>
          <w:rFonts w:ascii="Arial" w:cs="Arial" w:hAnsi="Arial"/>
        </w:rPr>
        <w:t>E</w:t>
      </w:r>
      <w:r>
        <w:rPr>
          <w:rFonts w:ascii="Arial" w:cs="Arial" w:hAnsi="Arial"/>
        </w:rPr>
        <w:t>pidemiológica.</w:t>
      </w:r>
    </w:p>
    <w:p>
      <w:pPr>
        <w:pStyle w:val="style0"/>
        <w:spacing w:lineRule="auto" w:line="276"/>
        <w:jc w:val="both"/>
        <w:rPr>
          <w:rFonts w:ascii="Arial" w:cs="Arial" w:hAnsi="Arial"/>
          <w:noProof/>
        </w:rPr>
      </w:pPr>
      <w:r>
        <w:rPr>
          <w:rFonts w:ascii="Arial" w:cs="Arial" w:hAnsi="Arial"/>
          <w:noProof/>
        </w:rPr>
        <w:t xml:space="preserve">Al 29 de Julio  del 2020 se han asignado 20.071 casos de Covid-19 pertenecientes a la </w:t>
      </w:r>
      <w:r>
        <w:rPr>
          <w:rFonts w:ascii="Arial" w:cs="Arial" w:hAnsi="Arial"/>
          <w:bCs/>
        </w:rPr>
        <w:t>Sub Red Integrada de Servicios de Salud Centro Oriente - SISSCO</w:t>
      </w:r>
      <w:r>
        <w:rPr>
          <w:rFonts w:ascii="Arial" w:cs="Arial" w:hAnsi="Arial"/>
          <w:noProof/>
        </w:rPr>
        <w:t>, de los cuales 16.525 casos est</w:t>
      </w:r>
      <w:r>
        <w:rPr>
          <w:rFonts w:ascii="Arial" w:cs="Arial" w:hAnsi="Arial"/>
          <w:noProof/>
        </w:rPr>
        <w:t>á</w:t>
      </w:r>
      <w:r>
        <w:rPr>
          <w:rFonts w:ascii="Arial" w:cs="Arial" w:hAnsi="Arial"/>
          <w:noProof/>
        </w:rPr>
        <w:t>n positivos  con un total de 277 fallecidos, adicionalmente se cuenta con un total de 2</w:t>
      </w:r>
      <w:r>
        <w:rPr>
          <w:rFonts w:ascii="Arial" w:cs="Arial" w:hAnsi="Arial"/>
          <w:noProof/>
        </w:rPr>
        <w:t>.</w:t>
      </w:r>
      <w:r>
        <w:rPr>
          <w:rFonts w:ascii="Arial" w:cs="Arial" w:hAnsi="Arial"/>
          <w:noProof/>
        </w:rPr>
        <w:t xml:space="preserve">576 recuperados. En cuanto a los fallecidos a corte del 29 de Julio  se registraron 277 muertes con residencia en la SISSCO, se reitera que la informacion esta sujeta a la verificacion de datos diariamente, entregados por la </w:t>
      </w:r>
      <w:r>
        <w:rPr>
          <w:rFonts w:ascii="Arial" w:cs="Arial" w:hAnsi="Arial"/>
          <w:bCs/>
          <w:noProof/>
        </w:rPr>
        <w:t>Secretar</w:t>
      </w:r>
      <w:r>
        <w:rPr>
          <w:rFonts w:ascii="Arial" w:cs="Arial" w:hAnsi="Arial"/>
          <w:bCs/>
          <w:noProof/>
        </w:rPr>
        <w:t>í</w:t>
      </w:r>
      <w:r>
        <w:rPr>
          <w:rFonts w:ascii="Arial" w:cs="Arial" w:hAnsi="Arial"/>
          <w:bCs/>
          <w:noProof/>
        </w:rPr>
        <w:t>a Distrital de Salud - SDS</w:t>
      </w:r>
      <w:r>
        <w:rPr>
          <w:rFonts w:ascii="Arial" w:cs="Arial" w:hAnsi="Arial"/>
          <w:noProof/>
        </w:rPr>
        <w:t>.</w:t>
      </w:r>
    </w:p>
    <w:p>
      <w:pPr>
        <w:pStyle w:val="style0"/>
        <w:spacing w:lineRule="auto" w:line="276"/>
        <w:jc w:val="both"/>
        <w:rPr>
          <w:rFonts w:ascii="Arial" w:cs="Arial" w:hAnsi="Arial"/>
          <w:noProof/>
          <w:sz w:val="20"/>
          <w:szCs w:val="20"/>
        </w:rPr>
      </w:pPr>
    </w:p>
    <w:p>
      <w:pPr>
        <w:pStyle w:val="style34"/>
        <w:spacing w:lineRule="auto" w:line="276"/>
        <w:jc w:val="both"/>
        <w:rPr>
          <w:rFonts w:ascii="Arial" w:cs="Arial" w:hAnsi="Arial"/>
          <w:b w:val="false"/>
          <w:bCs w:val="false"/>
          <w:color w:val="auto"/>
          <w:sz w:val="20"/>
          <w:szCs w:val="20"/>
        </w:rPr>
      </w:pPr>
      <w:r>
        <w:rPr>
          <w:rFonts w:ascii="Arial" w:cs="Arial" w:hAnsi="Arial"/>
          <w:b w:val="false"/>
          <w:bCs w:val="false"/>
          <w:color w:val="auto"/>
          <w:sz w:val="20"/>
          <w:szCs w:val="20"/>
        </w:rPr>
        <w:t>Tabla XX. Casos abordados para la Covid-19 por lugar de residencia SISSCO, Notificados al SIVIGILA DC. Julio 29 de 2020.</w:t>
      </w:r>
    </w:p>
    <w:tbl>
      <w:tblPr>
        <w:tblStyle w:val="style4112"/>
        <w:tblW w:w="4914" w:type="pct"/>
        <w:jc w:val="center"/>
        <w:tblInd w:w="0" w:type="dxa"/>
        <w:tblBorders>
          <w:top w:val="single" w:sz="8" w:space="0" w:color="auto"/>
          <w:left w:val="single" w:sz="8" w:space="0" w:color="auto"/>
          <w:bottom w:val="single" w:sz="8" w:space="0" w:color="auto"/>
          <w:right w:val="single" w:sz="8" w:space="0" w:color="auto"/>
          <w:insideH w:val="single" w:sz="8" w:space="0" w:color="auto"/>
        </w:tblBorders>
        <w:shd w:val="clear" w:color="auto" w:fill="ffffff"/>
        <w:tblLook w:val="04A0" w:firstRow="1" w:lastRow="0" w:firstColumn="1" w:lastColumn="0" w:noHBand="0" w:noVBand="1"/>
      </w:tblPr>
      <w:tblGrid>
        <w:gridCol w:w="2388"/>
        <w:gridCol w:w="1877"/>
        <w:gridCol w:w="1291"/>
        <w:gridCol w:w="1362"/>
        <w:gridCol w:w="1747"/>
      </w:tblGrid>
      <w:tr>
        <w:trPr>
          <w:trHeight w:val="244" w:hRule="atLeast"/>
          <w:jc w:val="center"/>
        </w:trPr>
        <w:tc>
          <w:tcPr>
            <w:tcW w:w="1378" w:type="pct"/>
            <w:tcBorders/>
            <w:shd w:val="clear" w:color="auto" w:fill="ff0000"/>
            <w:noWrap/>
            <w:hideMark/>
          </w:tcPr>
          <w:p>
            <w:pPr>
              <w:pStyle w:val="style0"/>
              <w:rPr>
                <w:rFonts w:ascii="Arial" w:cs="Arial" w:eastAsia="Times New Roman" w:hAnsi="Arial"/>
                <w:sz w:val="18"/>
                <w:szCs w:val="18"/>
              </w:rPr>
            </w:pPr>
            <w:r>
              <w:rPr>
                <w:rFonts w:ascii="Arial" w:cs="Arial" w:eastAsia="Times New Roman" w:hAnsi="Arial"/>
                <w:sz w:val="18"/>
                <w:szCs w:val="18"/>
              </w:rPr>
              <w:t xml:space="preserve">LOCALIDAD </w:t>
            </w:r>
          </w:p>
        </w:tc>
        <w:tc>
          <w:tcPr>
            <w:tcW w:w="1083" w:type="pct"/>
            <w:tcBorders/>
            <w:shd w:val="clear" w:color="auto" w:fill="ff0000"/>
            <w:noWrap/>
            <w:hideMark/>
          </w:tcPr>
          <w:p>
            <w:pPr>
              <w:pStyle w:val="style0"/>
              <w:rPr>
                <w:rFonts w:ascii="Arial" w:cs="Arial" w:eastAsia="Times New Roman" w:hAnsi="Arial"/>
                <w:sz w:val="18"/>
                <w:szCs w:val="18"/>
              </w:rPr>
            </w:pPr>
            <w:r>
              <w:rPr>
                <w:rFonts w:ascii="Arial" w:cs="Arial" w:eastAsia="Times New Roman" w:hAnsi="Arial"/>
                <w:sz w:val="18"/>
                <w:szCs w:val="18"/>
              </w:rPr>
              <w:t>CASOSASIGNADOS</w:t>
            </w:r>
          </w:p>
        </w:tc>
        <w:tc>
          <w:tcPr>
            <w:tcW w:w="745" w:type="pct"/>
            <w:tcBorders/>
            <w:shd w:val="clear" w:color="auto" w:fill="ff0000"/>
            <w:noWrap/>
            <w:hideMark/>
          </w:tcPr>
          <w:p>
            <w:pPr>
              <w:pStyle w:val="style0"/>
              <w:rPr>
                <w:rFonts w:ascii="Arial" w:cs="Arial" w:eastAsia="Times New Roman" w:hAnsi="Arial"/>
                <w:sz w:val="18"/>
                <w:szCs w:val="18"/>
              </w:rPr>
            </w:pPr>
            <w:r>
              <w:rPr>
                <w:rFonts w:ascii="Arial" w:cs="Arial" w:eastAsia="Times New Roman" w:hAnsi="Arial"/>
                <w:sz w:val="18"/>
                <w:szCs w:val="18"/>
              </w:rPr>
              <w:t xml:space="preserve">POSITIVOS </w:t>
            </w:r>
          </w:p>
        </w:tc>
        <w:tc>
          <w:tcPr>
            <w:tcW w:w="786" w:type="pct"/>
            <w:tcBorders/>
            <w:shd w:val="clear" w:color="auto" w:fill="ff0000"/>
            <w:noWrap/>
            <w:hideMark/>
          </w:tcPr>
          <w:p>
            <w:pPr>
              <w:pStyle w:val="style0"/>
              <w:rPr>
                <w:rFonts w:ascii="Arial" w:cs="Arial" w:eastAsia="Times New Roman" w:hAnsi="Arial"/>
                <w:sz w:val="18"/>
                <w:szCs w:val="18"/>
              </w:rPr>
            </w:pPr>
            <w:r>
              <w:rPr>
                <w:rFonts w:ascii="Arial" w:cs="Arial" w:eastAsia="Times New Roman" w:hAnsi="Arial"/>
                <w:sz w:val="18"/>
                <w:szCs w:val="18"/>
              </w:rPr>
              <w:t>FALLECIDOS</w:t>
            </w:r>
          </w:p>
        </w:tc>
        <w:tc>
          <w:tcPr>
            <w:tcW w:w="1008" w:type="pct"/>
            <w:tcBorders/>
            <w:shd w:val="clear" w:color="auto" w:fill="ff0000"/>
            <w:noWrap/>
            <w:hideMark/>
          </w:tcPr>
          <w:p>
            <w:pPr>
              <w:pStyle w:val="style0"/>
              <w:rPr>
                <w:rFonts w:ascii="Arial" w:cs="Arial" w:eastAsia="Times New Roman" w:hAnsi="Arial"/>
                <w:sz w:val="18"/>
                <w:szCs w:val="18"/>
              </w:rPr>
            </w:pPr>
            <w:r>
              <w:rPr>
                <w:rFonts w:ascii="Arial" w:cs="Arial" w:eastAsia="Times New Roman" w:hAnsi="Arial"/>
                <w:sz w:val="18"/>
                <w:szCs w:val="18"/>
              </w:rPr>
              <w:t>RECUPERADOS</w:t>
            </w:r>
          </w:p>
        </w:tc>
      </w:tr>
      <w:tr>
        <w:tblPrEx/>
        <w:trPr>
          <w:trHeight w:val="244" w:hRule="atLeast"/>
          <w:jc w:val="center"/>
        </w:trPr>
        <w:tc>
          <w:tcPr>
            <w:tcW w:w="1378" w:type="pct"/>
            <w:tcBorders/>
            <w:shd w:val="clear" w:color="auto" w:fill="ffffff"/>
            <w:noWrap/>
            <w:hideMark/>
          </w:tcPr>
          <w:p>
            <w:pPr>
              <w:pStyle w:val="style0"/>
              <w:rPr>
                <w:rFonts w:ascii="Arial" w:cs="Arial" w:eastAsia="Times New Roman" w:hAnsi="Arial"/>
                <w:sz w:val="18"/>
                <w:szCs w:val="18"/>
              </w:rPr>
            </w:pPr>
            <w:r>
              <w:rPr>
                <w:rFonts w:ascii="Arial" w:cs="Arial" w:eastAsia="Times New Roman" w:hAnsi="Arial"/>
                <w:sz w:val="18"/>
                <w:szCs w:val="18"/>
              </w:rPr>
              <w:t>LA CANDELARIA</w:t>
            </w:r>
          </w:p>
        </w:tc>
        <w:tc>
          <w:tcPr>
            <w:tcW w:w="1083" w:type="pct"/>
            <w:tcBorders/>
            <w:shd w:val="clear" w:color="auto" w:fill="ffffff"/>
            <w:noWrap/>
            <w:vAlign w:val="center"/>
            <w:hideMark/>
          </w:tcPr>
          <w:p>
            <w:pPr>
              <w:pStyle w:val="style0"/>
              <w:jc w:val="center"/>
              <w:rPr>
                <w:rFonts w:ascii="Calibri" w:cs="Calibri" w:hAnsi="Calibri"/>
                <w:color w:val="000000"/>
                <w:sz w:val="18"/>
                <w:szCs w:val="18"/>
              </w:rPr>
            </w:pPr>
            <w:r>
              <w:rPr>
                <w:rFonts w:ascii="Calibri" w:cs="Calibri" w:hAnsi="Calibri"/>
                <w:color w:val="000000"/>
                <w:sz w:val="18"/>
                <w:szCs w:val="18"/>
              </w:rPr>
              <w:t>588</w:t>
            </w:r>
          </w:p>
        </w:tc>
        <w:tc>
          <w:tcPr>
            <w:tcW w:w="745" w:type="pct"/>
            <w:tcBorders/>
            <w:shd w:val="clear" w:color="auto" w:fill="ffffff"/>
            <w:noWrap/>
            <w:vAlign w:val="bottom"/>
            <w:hideMark/>
          </w:tcPr>
          <w:p>
            <w:pPr>
              <w:pStyle w:val="style0"/>
              <w:jc w:val="center"/>
              <w:rPr>
                <w:rFonts w:ascii="Calibri" w:cs="Calibri" w:hAnsi="Calibri"/>
                <w:color w:val="000000"/>
                <w:sz w:val="18"/>
                <w:szCs w:val="18"/>
              </w:rPr>
            </w:pPr>
            <w:r>
              <w:rPr>
                <w:rFonts w:ascii="Calibri" w:cs="Calibri" w:hAnsi="Calibri"/>
                <w:color w:val="000000"/>
                <w:sz w:val="18"/>
                <w:szCs w:val="18"/>
              </w:rPr>
              <w:t>446</w:t>
            </w:r>
          </w:p>
        </w:tc>
        <w:tc>
          <w:tcPr>
            <w:tcW w:w="786" w:type="pct"/>
            <w:tcBorders/>
            <w:shd w:val="clear" w:color="auto" w:fill="ffffff"/>
            <w:noWrap/>
            <w:vAlign w:val="bottom"/>
            <w:hideMark/>
          </w:tcPr>
          <w:p>
            <w:pPr>
              <w:pStyle w:val="style0"/>
              <w:jc w:val="center"/>
              <w:rPr>
                <w:rFonts w:ascii="Calibri" w:cs="Calibri" w:hAnsi="Calibri"/>
                <w:color w:val="000000"/>
                <w:sz w:val="18"/>
                <w:szCs w:val="18"/>
              </w:rPr>
            </w:pPr>
            <w:r>
              <w:rPr>
                <w:rFonts w:ascii="Calibri" w:cs="Calibri" w:hAnsi="Calibri"/>
                <w:color w:val="000000"/>
                <w:sz w:val="18"/>
                <w:szCs w:val="18"/>
              </w:rPr>
              <w:t>11</w:t>
            </w:r>
          </w:p>
        </w:tc>
        <w:tc>
          <w:tcPr>
            <w:tcW w:w="1008" w:type="pct"/>
            <w:tcBorders/>
            <w:shd w:val="clear" w:color="auto" w:fill="ffffff"/>
            <w:noWrap/>
            <w:vAlign w:val="bottom"/>
            <w:hideMark/>
          </w:tcPr>
          <w:p>
            <w:pPr>
              <w:pStyle w:val="style0"/>
              <w:jc w:val="center"/>
              <w:rPr>
                <w:rFonts w:ascii="Calibri" w:cs="Calibri" w:hAnsi="Calibri"/>
                <w:color w:val="000000"/>
                <w:sz w:val="18"/>
                <w:szCs w:val="18"/>
              </w:rPr>
            </w:pPr>
            <w:r>
              <w:rPr>
                <w:rFonts w:ascii="Calibri" w:cs="Calibri" w:hAnsi="Calibri"/>
                <w:color w:val="000000"/>
                <w:sz w:val="18"/>
                <w:szCs w:val="18"/>
              </w:rPr>
              <w:t>93</w:t>
            </w:r>
          </w:p>
        </w:tc>
      </w:tr>
    </w:tbl>
    <w:p>
      <w:pPr>
        <w:pStyle w:val="style0"/>
        <w:spacing w:lineRule="auto" w:line="276"/>
        <w:jc w:val="both"/>
        <w:rPr>
          <w:rFonts w:ascii="Arial" w:cs="Arial" w:hAnsi="Arial"/>
          <w:sz w:val="18"/>
          <w:szCs w:val="18"/>
        </w:rPr>
      </w:pPr>
      <w:r>
        <w:rPr>
          <w:rFonts w:ascii="Arial" w:cs="Arial" w:hAnsi="Arial"/>
          <w:sz w:val="18"/>
          <w:szCs w:val="18"/>
        </w:rPr>
        <w:t>Fuente: VSP-SISSCO a Julio 29 de 2020.</w:t>
      </w:r>
      <w:r>
        <w:rPr>
          <w:rFonts w:ascii="Arial" w:cs="Arial" w:hAnsi="Arial"/>
          <w:sz w:val="18"/>
          <w:szCs w:val="18"/>
        </w:rPr>
        <w:tab/>
      </w:r>
    </w:p>
    <w:p>
      <w:pPr>
        <w:pStyle w:val="style0"/>
        <w:spacing w:lineRule="auto" w:line="276"/>
        <w:jc w:val="both"/>
        <w:rPr>
          <w:rFonts w:ascii="Arial" w:cs="Arial" w:hAnsi="Arial"/>
          <w:sz w:val="18"/>
          <w:szCs w:val="18"/>
        </w:rPr>
      </w:pPr>
    </w:p>
    <w:p>
      <w:pPr>
        <w:pStyle w:val="style0"/>
        <w:spacing w:lineRule="auto" w:line="276"/>
        <w:jc w:val="both"/>
        <w:rPr>
          <w:rFonts w:ascii="Arial" w:cs="Arial" w:hAnsi="Arial"/>
          <w:noProof/>
        </w:rPr>
      </w:pPr>
      <w:r>
        <w:rPr>
          <w:rFonts w:ascii="Arial" w:cs="Arial" w:hAnsi="Arial"/>
        </w:rPr>
        <w:t>En relación con los casos notificados por la SDS de Bogotá se observa una diferencia de los casos reportados en comparación con los datos de la SISSCO. Se han identificado 928 casos con lugar de residencia en municipios aledaños y en otras subredes. La disminución en la diferencia de los casos reportados por SDS y los identificados en la SISSCO se debe a que se logró, identificar usuarios que no estaban registrados como residentes de la Subred Centro Oriente y que pertenecen teniendo en cuenta su dirección de residencia.</w:t>
      </w:r>
    </w:p>
    <w:p>
      <w:pPr>
        <w:pStyle w:val="style0"/>
        <w:spacing w:lineRule="auto" w:line="276"/>
        <w:jc w:val="both"/>
        <w:rPr>
          <w:rFonts w:ascii="Arial" w:cs="Arial" w:hAnsi="Arial"/>
          <w:sz w:val="20"/>
          <w:szCs w:val="20"/>
        </w:rPr>
      </w:pPr>
    </w:p>
    <w:p>
      <w:pPr>
        <w:pStyle w:val="style34"/>
        <w:spacing w:lineRule="auto" w:line="276"/>
        <w:jc w:val="both"/>
        <w:rPr>
          <w:rFonts w:ascii="Arial" w:cs="Arial" w:hAnsi="Arial"/>
          <w:bCs w:val="false"/>
          <w:color w:val="auto"/>
          <w:sz w:val="20"/>
          <w:szCs w:val="20"/>
        </w:rPr>
      </w:pPr>
      <w:r>
        <w:rPr>
          <w:rFonts w:ascii="Arial" w:cs="Arial" w:hAnsi="Arial"/>
          <w:bCs w:val="false"/>
          <w:color w:val="auto"/>
          <w:sz w:val="20"/>
          <w:szCs w:val="20"/>
        </w:rPr>
        <w:t>Tabla XX. Casos confirmados de COVID-19 notificados por la SDS comparados con los casos identificados por la SISSCO.</w:t>
      </w:r>
      <w:r>
        <w:rPr>
          <w:rFonts w:ascii="Arial" w:cs="Arial" w:hAnsi="Arial"/>
          <w:bCs w:val="false"/>
          <w:color w:val="auto"/>
          <w:sz w:val="20"/>
          <w:szCs w:val="20"/>
        </w:rPr>
        <w:tab/>
      </w:r>
    </w:p>
    <w:tbl>
      <w:tblPr>
        <w:tblStyle w:val="style4112"/>
        <w:tblW w:w="8639" w:type="dxa"/>
        <w:jc w:val="center"/>
        <w:tblInd w:w="0" w:type="dxa"/>
        <w:tblBorders>
          <w:top w:val="single" w:sz="8" w:space="0" w:color="auto"/>
          <w:left w:val="single" w:sz="8" w:space="0" w:color="auto"/>
          <w:bottom w:val="single" w:sz="8" w:space="0" w:color="auto"/>
          <w:right w:val="single" w:sz="8" w:space="0" w:color="auto"/>
          <w:insideH w:val="single" w:sz="8" w:space="0" w:color="auto"/>
        </w:tblBorders>
        <w:tblLook w:val="04A0" w:firstRow="1" w:lastRow="0" w:firstColumn="1" w:lastColumn="0" w:noHBand="0" w:noVBand="1"/>
      </w:tblPr>
      <w:tblGrid>
        <w:gridCol w:w="2758"/>
        <w:gridCol w:w="1822"/>
        <w:gridCol w:w="1743"/>
        <w:gridCol w:w="2316"/>
      </w:tblGrid>
      <w:tr>
        <w:trPr>
          <w:trHeight w:val="217" w:hRule="atLeast"/>
          <w:jc w:val="center"/>
        </w:trPr>
        <w:tc>
          <w:tcPr>
            <w:tcW w:w="2758" w:type="dxa"/>
            <w:tcBorders/>
            <w:shd w:val="clear" w:color="auto" w:fill="ff0000"/>
            <w:noWrap/>
            <w:hideMark/>
          </w:tcPr>
          <w:p>
            <w:pPr>
              <w:pStyle w:val="style0"/>
              <w:jc w:val="center"/>
              <w:rPr>
                <w:rFonts w:ascii="Arial" w:cs="Arial" w:eastAsia="Times New Roman" w:hAnsi="Arial"/>
                <w:sz w:val="18"/>
                <w:szCs w:val="18"/>
                <w:lang w:val="es-ES" w:eastAsia="es-ES"/>
              </w:rPr>
            </w:pPr>
            <w:r>
              <w:rPr>
                <w:rFonts w:ascii="Arial" w:cs="Arial" w:eastAsia="Times New Roman" w:hAnsi="Arial"/>
                <w:sz w:val="18"/>
                <w:szCs w:val="18"/>
                <w:lang w:val="es-ES" w:eastAsia="es-ES"/>
              </w:rPr>
              <w:t>LOCALIDADES SISSCO</w:t>
            </w:r>
          </w:p>
        </w:tc>
        <w:tc>
          <w:tcPr>
            <w:tcW w:w="1822" w:type="dxa"/>
            <w:tcBorders/>
            <w:shd w:val="clear" w:color="auto" w:fill="ff0000"/>
            <w:noWrap/>
            <w:hideMark/>
          </w:tcPr>
          <w:p>
            <w:pPr>
              <w:pStyle w:val="style0"/>
              <w:jc w:val="center"/>
              <w:rPr>
                <w:rFonts w:ascii="Arial" w:cs="Arial" w:eastAsia="Times New Roman" w:hAnsi="Arial"/>
                <w:sz w:val="18"/>
                <w:szCs w:val="18"/>
                <w:lang w:val="es-ES" w:eastAsia="es-ES"/>
              </w:rPr>
            </w:pPr>
            <w:r>
              <w:rPr>
                <w:rFonts w:ascii="Arial" w:cs="Arial" w:eastAsia="Times New Roman" w:hAnsi="Arial"/>
                <w:sz w:val="18"/>
                <w:szCs w:val="18"/>
                <w:lang w:val="es-ES" w:eastAsia="es-ES"/>
              </w:rPr>
              <w:t>SALUDATA</w:t>
            </w:r>
          </w:p>
        </w:tc>
        <w:tc>
          <w:tcPr>
            <w:tcW w:w="1743" w:type="dxa"/>
            <w:tcBorders/>
            <w:shd w:val="clear" w:color="auto" w:fill="ff0000"/>
            <w:noWrap/>
            <w:hideMark/>
          </w:tcPr>
          <w:p>
            <w:pPr>
              <w:pStyle w:val="style0"/>
              <w:jc w:val="center"/>
              <w:rPr>
                <w:rFonts w:ascii="Arial" w:cs="Arial" w:eastAsia="Times New Roman" w:hAnsi="Arial"/>
                <w:sz w:val="18"/>
                <w:szCs w:val="18"/>
                <w:lang w:val="es-ES" w:eastAsia="es-ES"/>
              </w:rPr>
            </w:pPr>
            <w:r>
              <w:rPr>
                <w:rFonts w:ascii="Arial" w:cs="Arial" w:eastAsia="Times New Roman" w:hAnsi="Arial"/>
                <w:sz w:val="18"/>
                <w:szCs w:val="18"/>
                <w:lang w:val="es-ES" w:eastAsia="es-ES"/>
              </w:rPr>
              <w:t>LOCALIDAD</w:t>
            </w:r>
          </w:p>
        </w:tc>
        <w:tc>
          <w:tcPr>
            <w:tcW w:w="2316" w:type="dxa"/>
            <w:tcBorders/>
            <w:shd w:val="clear" w:color="auto" w:fill="ff0000"/>
            <w:noWrap/>
            <w:hideMark/>
          </w:tcPr>
          <w:p>
            <w:pPr>
              <w:pStyle w:val="style0"/>
              <w:jc w:val="center"/>
              <w:rPr>
                <w:rFonts w:ascii="Arial" w:cs="Arial" w:eastAsia="Times New Roman" w:hAnsi="Arial"/>
                <w:sz w:val="18"/>
                <w:szCs w:val="18"/>
                <w:lang w:val="es-ES" w:eastAsia="es-ES"/>
              </w:rPr>
            </w:pPr>
            <w:r>
              <w:rPr>
                <w:rFonts w:ascii="Arial" w:cs="Arial" w:eastAsia="Times New Roman" w:hAnsi="Arial"/>
                <w:sz w:val="18"/>
                <w:szCs w:val="18"/>
                <w:lang w:val="es-ES" w:eastAsia="es-ES"/>
              </w:rPr>
              <w:t>IDENTIFICADOS OTRAS LOCALIDADES</w:t>
            </w:r>
          </w:p>
        </w:tc>
      </w:tr>
      <w:tr>
        <w:tblPrEx/>
        <w:trPr>
          <w:trHeight w:val="217" w:hRule="atLeast"/>
          <w:jc w:val="center"/>
        </w:trPr>
        <w:tc>
          <w:tcPr>
            <w:tcW w:w="2758" w:type="dxa"/>
            <w:tcBorders/>
            <w:noWrap/>
            <w:hideMark/>
          </w:tcPr>
          <w:p>
            <w:pPr>
              <w:pStyle w:val="style0"/>
              <w:rPr>
                <w:rFonts w:ascii="Arial" w:cs="Arial" w:eastAsia="Times New Roman" w:hAnsi="Arial"/>
                <w:sz w:val="18"/>
                <w:szCs w:val="18"/>
                <w:lang w:val="es-ES" w:eastAsia="es-ES"/>
              </w:rPr>
            </w:pPr>
            <w:r>
              <w:rPr>
                <w:rFonts w:ascii="Arial" w:cs="Arial" w:eastAsia="Times New Roman" w:hAnsi="Arial"/>
                <w:sz w:val="18"/>
                <w:szCs w:val="18"/>
                <w:lang w:val="es-ES" w:eastAsia="es-ES"/>
              </w:rPr>
              <w:t>LA CANDELARIA</w:t>
            </w:r>
          </w:p>
        </w:tc>
        <w:tc>
          <w:tcPr>
            <w:tcW w:w="1822" w:type="dxa"/>
            <w:tcBorders/>
            <w:noWrap/>
            <w:vAlign w:val="center"/>
            <w:hideMark/>
          </w:tcPr>
          <w:p>
            <w:pPr>
              <w:pStyle w:val="style0"/>
              <w:jc w:val="center"/>
              <w:rPr>
                <w:rFonts w:ascii="Calibri" w:cs="Calibri" w:hAnsi="Calibri"/>
                <w:color w:val="000000"/>
                <w:sz w:val="18"/>
                <w:szCs w:val="18"/>
              </w:rPr>
            </w:pPr>
            <w:r>
              <w:rPr>
                <w:rFonts w:ascii="Calibri" w:cs="Calibri" w:hAnsi="Calibri"/>
                <w:color w:val="000000"/>
                <w:sz w:val="18"/>
                <w:szCs w:val="18"/>
              </w:rPr>
              <w:t>421</w:t>
            </w:r>
          </w:p>
        </w:tc>
        <w:tc>
          <w:tcPr>
            <w:tcW w:w="1743" w:type="dxa"/>
            <w:tcBorders/>
            <w:noWrap/>
            <w:vAlign w:val="bottom"/>
            <w:hideMark/>
          </w:tcPr>
          <w:p>
            <w:pPr>
              <w:pStyle w:val="style0"/>
              <w:jc w:val="center"/>
              <w:rPr>
                <w:rFonts w:ascii="Calibri" w:cs="Calibri" w:hAnsi="Calibri"/>
                <w:color w:val="000000"/>
                <w:sz w:val="18"/>
                <w:szCs w:val="18"/>
              </w:rPr>
            </w:pPr>
            <w:r>
              <w:rPr>
                <w:rFonts w:ascii="Calibri" w:cs="Calibri" w:hAnsi="Calibri"/>
                <w:color w:val="000000"/>
                <w:sz w:val="18"/>
                <w:szCs w:val="18"/>
              </w:rPr>
              <w:t>446</w:t>
            </w:r>
          </w:p>
        </w:tc>
        <w:tc>
          <w:tcPr>
            <w:tcW w:w="2316" w:type="dxa"/>
            <w:tcBorders/>
            <w:noWrap/>
            <w:vAlign w:val="bottom"/>
            <w:hideMark/>
          </w:tcPr>
          <w:p>
            <w:pPr>
              <w:pStyle w:val="style0"/>
              <w:jc w:val="center"/>
              <w:rPr>
                <w:rFonts w:ascii="Calibri" w:cs="Calibri" w:hAnsi="Calibri"/>
                <w:color w:val="000000"/>
                <w:sz w:val="18"/>
                <w:szCs w:val="18"/>
              </w:rPr>
            </w:pPr>
            <w:r>
              <w:rPr>
                <w:rFonts w:ascii="Calibri" w:cs="Calibri" w:hAnsi="Calibri"/>
                <w:color w:val="000000"/>
                <w:sz w:val="18"/>
                <w:szCs w:val="18"/>
              </w:rPr>
              <w:t>53</w:t>
            </w:r>
          </w:p>
        </w:tc>
      </w:tr>
    </w:tbl>
    <w:p>
      <w:pPr>
        <w:pStyle w:val="style0"/>
        <w:spacing w:lineRule="auto" w:line="276"/>
        <w:jc w:val="both"/>
        <w:rPr>
          <w:rFonts w:ascii="Arial" w:cs="Arial" w:hAnsi="Arial"/>
          <w:sz w:val="18"/>
          <w:szCs w:val="18"/>
        </w:rPr>
      </w:pPr>
      <w:r>
        <w:rPr>
          <w:rFonts w:ascii="Arial" w:cs="Arial" w:hAnsi="Arial"/>
          <w:sz w:val="18"/>
          <w:szCs w:val="18"/>
        </w:rPr>
        <w:t>Fuente: Saludata: observatorio de salud de Bogotá, consultado el 29 de Julio 2020, hora de consulta: 8:00am</w:t>
      </w:r>
      <w:r>
        <w:rPr>
          <w:rFonts w:ascii="Arial" w:cs="Arial" w:hAnsi="Arial"/>
          <w:sz w:val="18"/>
          <w:szCs w:val="18"/>
        </w:rPr>
        <w:t xml:space="preserve"> </w:t>
      </w:r>
      <w:r>
        <w:rPr>
          <w:rFonts w:ascii="Arial" w:cs="Arial" w:hAnsi="Arial"/>
          <w:sz w:val="18"/>
          <w:szCs w:val="18"/>
        </w:rPr>
        <w:t xml:space="preserve">Construcción </w:t>
      </w:r>
      <w:r>
        <w:rPr>
          <w:rFonts w:ascii="Arial" w:cs="Arial" w:hAnsi="Arial"/>
          <w:sz w:val="18"/>
          <w:szCs w:val="18"/>
        </w:rPr>
        <w:t xml:space="preserve">SISSCO </w:t>
      </w:r>
      <w:r>
        <w:rPr>
          <w:rFonts w:ascii="Arial" w:cs="Arial" w:hAnsi="Arial"/>
          <w:sz w:val="18"/>
          <w:szCs w:val="18"/>
        </w:rPr>
        <w:t>con base en los datos SIVIGILA local, Notificación Inter local a Julio 29de 2020.</w:t>
      </w:r>
    </w:p>
    <w:p>
      <w:pPr>
        <w:pStyle w:val="style0"/>
        <w:spacing w:lineRule="auto" w:line="276"/>
        <w:jc w:val="both"/>
        <w:rPr>
          <w:rFonts w:ascii="Arial" w:cs="Arial" w:hAnsi="Arial"/>
        </w:rPr>
      </w:pPr>
      <w:r>
        <w:rPr>
          <w:rFonts w:ascii="Arial" w:cs="Arial" w:hAnsi="Arial"/>
        </w:rPr>
        <w:t>Según los casos confirmados para COVID-19 la tasa de incidencia reportada a nivel distrital es de 1</w:t>
      </w:r>
      <w:r>
        <w:rPr>
          <w:rFonts w:ascii="Arial" w:cs="Arial" w:hAnsi="Arial"/>
        </w:rPr>
        <w:t>.</w:t>
      </w:r>
      <w:r>
        <w:rPr>
          <w:rFonts w:ascii="Arial" w:cs="Arial" w:hAnsi="Arial"/>
        </w:rPr>
        <w:t xml:space="preserve">123,4 casos por cada 100.000 habitantes, es menor que la registrada por la SISSCO con una tasa de incidencia de 1.583,5 casos por cada 100.000 habitantes, identificándose que la localidad de La Candelaria es la segunda con mayor tasa de incidencia </w:t>
      </w:r>
      <w:r>
        <w:rPr>
          <w:rFonts w:ascii="Arial" w:cs="Arial" w:hAnsi="Arial"/>
        </w:rPr>
        <w:t xml:space="preserve">en la Sub Red </w:t>
      </w:r>
      <w:r>
        <w:rPr>
          <w:rFonts w:ascii="Arial" w:cs="Arial" w:hAnsi="Arial"/>
        </w:rPr>
        <w:t>con 2.043,1 casos por 100.000 habitantes.</w:t>
      </w:r>
    </w:p>
    <w:p>
      <w:pPr>
        <w:pStyle w:val="style0"/>
        <w:spacing w:lineRule="auto" w:line="276"/>
        <w:jc w:val="both"/>
        <w:rPr>
          <w:rFonts w:ascii="Arial" w:cs="Arial" w:hAnsi="Arial"/>
        </w:rPr>
      </w:pPr>
      <w:r>
        <w:rPr>
          <w:rFonts w:ascii="Arial" w:cs="Arial" w:hAnsi="Arial"/>
        </w:rPr>
        <w:t xml:space="preserve">En cuanto </w:t>
      </w:r>
      <w:r>
        <w:rPr>
          <w:rFonts w:ascii="Arial" w:cs="Arial" w:hAnsi="Arial"/>
        </w:rPr>
        <w:t xml:space="preserve">a </w:t>
      </w:r>
      <w:r>
        <w:rPr>
          <w:rFonts w:ascii="Arial" w:cs="Arial" w:hAnsi="Arial"/>
        </w:rPr>
        <w:t>la tasa de letalidad la SI</w:t>
      </w:r>
      <w:r>
        <w:rPr>
          <w:rFonts w:ascii="Arial" w:cs="Arial" w:hAnsi="Arial"/>
        </w:rPr>
        <w:t>S</w:t>
      </w:r>
      <w:r>
        <w:rPr>
          <w:rFonts w:ascii="Arial" w:cs="Arial" w:hAnsi="Arial"/>
        </w:rPr>
        <w:t>SCO al 29 de Julio  es de 1,7%, es menor comparada con la tasa distrital de 2,6%, con 277 muertes presentadas en las localidades de Rafael Uribe Uribe (87 fallecidos), San Cristóbal (82 fallecidos), Antonio Nariño (35 fallecidos) se aclara que se disminuyó un caso con el informe entregado a corte del 26 de julio debido a que se confirma usuario con residencia en Fusagasugá, Los Mártires (33 fallecidos), Santa fe (29 fallecidos) y la Candelaria (11 fallecidos).</w:t>
      </w:r>
    </w:p>
    <w:p>
      <w:pPr>
        <w:pStyle w:val="style0"/>
        <w:spacing w:lineRule="auto" w:line="276"/>
        <w:jc w:val="both"/>
        <w:rPr>
          <w:rFonts w:ascii="Arial" w:cs="Arial" w:hAnsi="Arial"/>
          <w:sz w:val="20"/>
          <w:szCs w:val="20"/>
        </w:rPr>
      </w:pPr>
    </w:p>
    <w:p>
      <w:pPr>
        <w:pStyle w:val="style34"/>
        <w:spacing w:lineRule="auto" w:line="276"/>
        <w:jc w:val="both"/>
        <w:rPr>
          <w:rFonts w:ascii="Arial" w:cs="Arial" w:hAnsi="Arial"/>
          <w:bCs w:val="false"/>
          <w:color w:val="auto"/>
          <w:sz w:val="20"/>
          <w:szCs w:val="20"/>
        </w:rPr>
      </w:pPr>
      <w:r>
        <w:rPr>
          <w:rFonts w:ascii="Arial" w:cs="Arial" w:hAnsi="Arial"/>
          <w:bCs w:val="false"/>
          <w:color w:val="auto"/>
          <w:sz w:val="20"/>
          <w:szCs w:val="20"/>
        </w:rPr>
        <w:t xml:space="preserve">Tabla XX. Distribución de la tasa de incidencia y letalidad de La COVID-19, localidades de la SISSCO, Julio 29 de 2020. </w:t>
      </w:r>
    </w:p>
    <w:tbl>
      <w:tblPr>
        <w:tblStyle w:val="style4112"/>
        <w:tblW w:w="8772" w:type="dxa"/>
        <w:tblInd w:w="0" w:type="dxa"/>
        <w:tblBorders>
          <w:top w:val="single" w:sz="8" w:space="0" w:color="auto"/>
          <w:left w:val="single" w:sz="8" w:space="0" w:color="auto"/>
          <w:bottom w:val="single" w:sz="8" w:space="0" w:color="auto"/>
          <w:right w:val="single" w:sz="8" w:space="0" w:color="auto"/>
          <w:insideH w:val="single" w:sz="8" w:space="0" w:color="auto"/>
        </w:tblBorders>
        <w:tblLook w:val="04A0" w:firstRow="1" w:lastRow="0" w:firstColumn="1" w:lastColumn="0" w:noHBand="0" w:noVBand="1"/>
      </w:tblPr>
      <w:tblGrid>
        <w:gridCol w:w="1726"/>
        <w:gridCol w:w="1467"/>
        <w:gridCol w:w="1197"/>
        <w:gridCol w:w="1704"/>
        <w:gridCol w:w="1021"/>
        <w:gridCol w:w="1656"/>
      </w:tblGrid>
      <w:tr>
        <w:trPr>
          <w:trHeight w:val="240" w:hRule="atLeast"/>
        </w:trPr>
        <w:tc>
          <w:tcPr>
            <w:tcW w:w="0" w:type="auto"/>
            <w:tcBorders/>
            <w:shd w:val="clear" w:color="auto" w:fill="ff0000"/>
            <w:hideMark/>
          </w:tcPr>
          <w:p>
            <w:pPr>
              <w:pStyle w:val="style0"/>
              <w:spacing w:lineRule="auto" w:line="276"/>
              <w:rPr>
                <w:rFonts w:ascii="Arial" w:cs="Arial" w:eastAsia="Times New Roman" w:hAnsi="Arial"/>
                <w:sz w:val="18"/>
                <w:szCs w:val="18"/>
              </w:rPr>
            </w:pPr>
            <w:r>
              <w:rPr>
                <w:rFonts w:ascii="Arial" w:cs="Arial" w:eastAsia="Times New Roman" w:hAnsi="Arial"/>
                <w:sz w:val="18"/>
                <w:szCs w:val="18"/>
              </w:rPr>
              <w:t xml:space="preserve">LOCALIDAD </w:t>
            </w:r>
          </w:p>
        </w:tc>
        <w:tc>
          <w:tcPr>
            <w:tcW w:w="0" w:type="auto"/>
            <w:tcBorders/>
            <w:shd w:val="clear" w:color="auto" w:fill="ff0000"/>
            <w:hideMark/>
          </w:tcPr>
          <w:p>
            <w:pPr>
              <w:pStyle w:val="style0"/>
              <w:spacing w:lineRule="auto" w:line="276"/>
              <w:jc w:val="center"/>
              <w:rPr>
                <w:rFonts w:ascii="Arial" w:cs="Arial" w:eastAsia="Times New Roman" w:hAnsi="Arial"/>
                <w:sz w:val="18"/>
                <w:szCs w:val="18"/>
              </w:rPr>
            </w:pPr>
            <w:r>
              <w:rPr>
                <w:rFonts w:ascii="Arial" w:cs="Arial" w:eastAsia="Times New Roman" w:hAnsi="Arial"/>
                <w:sz w:val="18"/>
                <w:szCs w:val="18"/>
              </w:rPr>
              <w:t>CONFIRMADOS</w:t>
            </w:r>
          </w:p>
        </w:tc>
        <w:tc>
          <w:tcPr>
            <w:tcW w:w="0" w:type="auto"/>
            <w:tcBorders/>
            <w:shd w:val="clear" w:color="auto" w:fill="ff0000"/>
            <w:hideMark/>
          </w:tcPr>
          <w:p>
            <w:pPr>
              <w:pStyle w:val="style0"/>
              <w:spacing w:lineRule="auto" w:line="276"/>
              <w:jc w:val="center"/>
              <w:rPr>
                <w:rFonts w:ascii="Arial" w:cs="Arial" w:eastAsia="Times New Roman" w:hAnsi="Arial"/>
                <w:sz w:val="18"/>
                <w:szCs w:val="18"/>
              </w:rPr>
            </w:pPr>
            <w:r>
              <w:rPr>
                <w:rFonts w:ascii="Arial" w:cs="Arial" w:eastAsia="Times New Roman" w:hAnsi="Arial"/>
                <w:sz w:val="18"/>
                <w:szCs w:val="18"/>
              </w:rPr>
              <w:t>POBLACION</w:t>
            </w:r>
          </w:p>
        </w:tc>
        <w:tc>
          <w:tcPr>
            <w:tcW w:w="0" w:type="auto"/>
            <w:tcBorders/>
            <w:shd w:val="clear" w:color="auto" w:fill="ff0000"/>
            <w:hideMark/>
          </w:tcPr>
          <w:p>
            <w:pPr>
              <w:pStyle w:val="style0"/>
              <w:spacing w:lineRule="auto" w:line="276"/>
              <w:jc w:val="center"/>
              <w:rPr>
                <w:rFonts w:ascii="Arial" w:cs="Arial" w:eastAsia="Times New Roman" w:hAnsi="Arial"/>
                <w:sz w:val="18"/>
                <w:szCs w:val="18"/>
              </w:rPr>
            </w:pPr>
            <w:r>
              <w:rPr>
                <w:rFonts w:ascii="Arial" w:cs="Arial" w:eastAsia="Times New Roman" w:hAnsi="Arial"/>
                <w:sz w:val="18"/>
                <w:szCs w:val="18"/>
              </w:rPr>
              <w:t>TASA DE INCIDENCIA</w:t>
            </w:r>
          </w:p>
        </w:tc>
        <w:tc>
          <w:tcPr>
            <w:tcW w:w="0" w:type="auto"/>
            <w:tcBorders/>
            <w:shd w:val="clear" w:color="auto" w:fill="ff0000"/>
            <w:hideMark/>
          </w:tcPr>
          <w:p>
            <w:pPr>
              <w:pStyle w:val="style0"/>
              <w:spacing w:lineRule="auto" w:line="276"/>
              <w:jc w:val="center"/>
              <w:rPr>
                <w:rFonts w:ascii="Arial" w:cs="Arial" w:eastAsia="Times New Roman" w:hAnsi="Arial"/>
                <w:sz w:val="18"/>
                <w:szCs w:val="18"/>
              </w:rPr>
            </w:pPr>
            <w:r>
              <w:rPr>
                <w:rFonts w:ascii="Arial" w:cs="Arial" w:eastAsia="Times New Roman" w:hAnsi="Arial"/>
                <w:sz w:val="18"/>
                <w:szCs w:val="18"/>
              </w:rPr>
              <w:t>MUERTES</w:t>
            </w:r>
          </w:p>
        </w:tc>
        <w:tc>
          <w:tcPr>
            <w:tcW w:w="0" w:type="auto"/>
            <w:tcBorders/>
            <w:shd w:val="clear" w:color="auto" w:fill="ff0000"/>
            <w:hideMark/>
          </w:tcPr>
          <w:p>
            <w:pPr>
              <w:pStyle w:val="style0"/>
              <w:spacing w:lineRule="auto" w:line="276"/>
              <w:jc w:val="center"/>
              <w:rPr>
                <w:rFonts w:ascii="Arial" w:cs="Arial" w:eastAsia="Times New Roman" w:hAnsi="Arial"/>
                <w:sz w:val="18"/>
                <w:szCs w:val="18"/>
              </w:rPr>
            </w:pPr>
            <w:r>
              <w:rPr>
                <w:rFonts w:ascii="Arial" w:cs="Arial" w:eastAsia="Times New Roman" w:hAnsi="Arial"/>
                <w:sz w:val="18"/>
                <w:szCs w:val="18"/>
              </w:rPr>
              <w:t>TASA DE LETALIDAD</w:t>
            </w:r>
          </w:p>
        </w:tc>
      </w:tr>
      <w:tr>
        <w:tblPrEx/>
        <w:trPr>
          <w:trHeight w:val="240" w:hRule="atLeast"/>
        </w:trPr>
        <w:tc>
          <w:tcPr>
            <w:tcW w:w="0" w:type="auto"/>
            <w:tcBorders/>
            <w:noWrap/>
            <w:hideMark/>
          </w:tcPr>
          <w:p>
            <w:pPr>
              <w:pStyle w:val="style0"/>
              <w:spacing w:lineRule="auto" w:line="276"/>
              <w:rPr>
                <w:rFonts w:ascii="Arial" w:cs="Arial" w:eastAsia="Times New Roman" w:hAnsi="Arial"/>
                <w:sz w:val="18"/>
                <w:szCs w:val="18"/>
              </w:rPr>
            </w:pPr>
            <w:r>
              <w:rPr>
                <w:rFonts w:ascii="Arial" w:cs="Arial" w:eastAsia="Times New Roman" w:hAnsi="Arial"/>
                <w:sz w:val="18"/>
                <w:szCs w:val="18"/>
              </w:rPr>
              <w:t>SANTA FE</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2134</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91111</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2342,2</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29</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1,4</w:t>
            </w:r>
          </w:p>
        </w:tc>
      </w:tr>
      <w:tr>
        <w:tblPrEx/>
        <w:trPr>
          <w:trHeight w:val="240" w:hRule="atLeast"/>
        </w:trPr>
        <w:tc>
          <w:tcPr>
            <w:tcW w:w="0" w:type="auto"/>
            <w:tcBorders/>
            <w:noWrap/>
            <w:hideMark/>
          </w:tcPr>
          <w:p>
            <w:pPr>
              <w:pStyle w:val="style0"/>
              <w:spacing w:lineRule="auto" w:line="276"/>
              <w:rPr>
                <w:rFonts w:ascii="Arial" w:cs="Arial" w:eastAsia="Times New Roman" w:hAnsi="Arial"/>
                <w:sz w:val="18"/>
                <w:szCs w:val="18"/>
              </w:rPr>
            </w:pPr>
            <w:r>
              <w:rPr>
                <w:rFonts w:ascii="Arial" w:cs="Arial" w:eastAsia="Times New Roman" w:hAnsi="Arial"/>
                <w:sz w:val="18"/>
                <w:szCs w:val="18"/>
              </w:rPr>
              <w:t>SAN CRISTOBAL</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5004</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387560</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1291,2</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82</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1,6</w:t>
            </w:r>
          </w:p>
        </w:tc>
      </w:tr>
      <w:tr>
        <w:tblPrEx/>
        <w:trPr>
          <w:trHeight w:val="240" w:hRule="atLeast"/>
        </w:trPr>
        <w:tc>
          <w:tcPr>
            <w:tcW w:w="0" w:type="auto"/>
            <w:tcBorders/>
            <w:noWrap/>
            <w:hideMark/>
          </w:tcPr>
          <w:p>
            <w:pPr>
              <w:pStyle w:val="style0"/>
              <w:spacing w:lineRule="auto" w:line="276"/>
              <w:rPr>
                <w:rFonts w:ascii="Arial" w:cs="Arial" w:eastAsia="Times New Roman" w:hAnsi="Arial"/>
                <w:sz w:val="18"/>
                <w:szCs w:val="18"/>
              </w:rPr>
            </w:pPr>
            <w:r>
              <w:rPr>
                <w:rFonts w:ascii="Arial" w:cs="Arial" w:eastAsia="Times New Roman" w:hAnsi="Arial"/>
                <w:sz w:val="18"/>
                <w:szCs w:val="18"/>
              </w:rPr>
              <w:t>LOS MARTIRES</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1658</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92234</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1797,6</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33</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2,0</w:t>
            </w:r>
          </w:p>
        </w:tc>
      </w:tr>
      <w:tr>
        <w:tblPrEx/>
        <w:trPr>
          <w:trHeight w:val="240" w:hRule="atLeast"/>
        </w:trPr>
        <w:tc>
          <w:tcPr>
            <w:tcW w:w="0" w:type="auto"/>
            <w:tcBorders/>
            <w:noWrap/>
            <w:hideMark/>
          </w:tcPr>
          <w:p>
            <w:pPr>
              <w:pStyle w:val="style0"/>
              <w:spacing w:lineRule="auto" w:line="276"/>
              <w:rPr>
                <w:rFonts w:ascii="Arial" w:cs="Arial" w:eastAsia="Times New Roman" w:hAnsi="Arial"/>
                <w:sz w:val="18"/>
                <w:szCs w:val="18"/>
              </w:rPr>
            </w:pPr>
            <w:r>
              <w:rPr>
                <w:rFonts w:ascii="Arial" w:cs="Arial" w:eastAsia="Times New Roman" w:hAnsi="Arial"/>
                <w:sz w:val="18"/>
                <w:szCs w:val="18"/>
              </w:rPr>
              <w:t>ANTONIO NARIÑO</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1501</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108976</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1377,4</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35</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2,3</w:t>
            </w:r>
          </w:p>
        </w:tc>
      </w:tr>
      <w:tr>
        <w:tblPrEx/>
        <w:trPr>
          <w:trHeight w:val="240" w:hRule="atLeast"/>
        </w:trPr>
        <w:tc>
          <w:tcPr>
            <w:tcW w:w="0" w:type="auto"/>
            <w:tcBorders/>
            <w:noWrap/>
            <w:hideMark/>
          </w:tcPr>
          <w:p>
            <w:pPr>
              <w:pStyle w:val="style0"/>
              <w:spacing w:lineRule="auto" w:line="276"/>
              <w:rPr>
                <w:rFonts w:ascii="Arial" w:cs="Arial" w:eastAsia="Times New Roman" w:hAnsi="Arial"/>
                <w:sz w:val="18"/>
                <w:szCs w:val="18"/>
              </w:rPr>
            </w:pPr>
            <w:r>
              <w:rPr>
                <w:rFonts w:ascii="Arial" w:cs="Arial" w:eastAsia="Times New Roman" w:hAnsi="Arial"/>
                <w:sz w:val="18"/>
                <w:szCs w:val="18"/>
              </w:rPr>
              <w:t>LA CANDELARIA</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446</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21830</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2043,1</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11</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2,5</w:t>
            </w:r>
          </w:p>
        </w:tc>
      </w:tr>
      <w:tr>
        <w:tblPrEx/>
        <w:trPr>
          <w:trHeight w:val="240" w:hRule="atLeast"/>
        </w:trPr>
        <w:tc>
          <w:tcPr>
            <w:tcW w:w="0" w:type="auto"/>
            <w:tcBorders/>
            <w:noWrap/>
            <w:hideMark/>
          </w:tcPr>
          <w:p>
            <w:pPr>
              <w:pStyle w:val="style0"/>
              <w:spacing w:lineRule="auto" w:line="276"/>
              <w:rPr>
                <w:rFonts w:ascii="Arial" w:cs="Arial" w:eastAsia="Times New Roman" w:hAnsi="Arial"/>
                <w:sz w:val="18"/>
                <w:szCs w:val="18"/>
              </w:rPr>
            </w:pPr>
            <w:r>
              <w:rPr>
                <w:rFonts w:ascii="Arial" w:cs="Arial" w:eastAsia="Times New Roman" w:hAnsi="Arial"/>
                <w:sz w:val="18"/>
                <w:szCs w:val="18"/>
              </w:rPr>
              <w:t>RAFAEL URIBE URIBE</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5782</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341886</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1691,2</w:t>
            </w:r>
          </w:p>
        </w:tc>
        <w:tc>
          <w:tcPr>
            <w:tcW w:w="0" w:type="auto"/>
            <w:tcBorders/>
            <w:noWrap/>
            <w:vAlign w:val="bottom"/>
            <w:hideMark/>
          </w:tcPr>
          <w:p>
            <w:pPr>
              <w:pStyle w:val="style0"/>
              <w:jc w:val="center"/>
              <w:rPr>
                <w:rFonts w:ascii="Arial" w:cs="Arial" w:hAnsi="Arial"/>
                <w:color w:val="000000"/>
                <w:sz w:val="18"/>
                <w:szCs w:val="18"/>
              </w:rPr>
            </w:pPr>
            <w:r>
              <w:rPr>
                <w:rFonts w:ascii="Arial" w:cs="Arial" w:hAnsi="Arial"/>
                <w:color w:val="000000"/>
                <w:sz w:val="18"/>
                <w:szCs w:val="18"/>
              </w:rPr>
              <w:t>87</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1,5</w:t>
            </w:r>
          </w:p>
        </w:tc>
      </w:tr>
      <w:tr>
        <w:tblPrEx/>
        <w:trPr>
          <w:trHeight w:val="240" w:hRule="atLeast"/>
        </w:trPr>
        <w:tc>
          <w:tcPr>
            <w:tcW w:w="0" w:type="auto"/>
            <w:tcBorders/>
            <w:hideMark/>
          </w:tcPr>
          <w:p>
            <w:pPr>
              <w:pStyle w:val="style0"/>
              <w:spacing w:lineRule="auto" w:line="276"/>
              <w:rPr>
                <w:rFonts w:ascii="Arial" w:cs="Arial" w:eastAsia="Times New Roman" w:hAnsi="Arial"/>
                <w:sz w:val="18"/>
                <w:szCs w:val="18"/>
              </w:rPr>
            </w:pPr>
            <w:r>
              <w:rPr>
                <w:rFonts w:ascii="Arial" w:cs="Arial" w:eastAsia="Times New Roman" w:hAnsi="Arial"/>
                <w:sz w:val="18"/>
                <w:szCs w:val="18"/>
              </w:rPr>
              <w:t>SISSCO</w:t>
            </w:r>
          </w:p>
        </w:tc>
        <w:tc>
          <w:tcPr>
            <w:tcW w:w="0" w:type="auto"/>
            <w:tcBorders/>
            <w:vAlign w:val="bottom"/>
            <w:hideMark/>
          </w:tcPr>
          <w:p>
            <w:pPr>
              <w:pStyle w:val="style0"/>
              <w:jc w:val="center"/>
              <w:rPr>
                <w:rFonts w:ascii="Arial" w:cs="Arial" w:hAnsi="Arial"/>
                <w:sz w:val="18"/>
                <w:szCs w:val="18"/>
              </w:rPr>
            </w:pPr>
            <w:r>
              <w:rPr>
                <w:rFonts w:ascii="Arial" w:cs="Arial" w:hAnsi="Arial"/>
                <w:sz w:val="18"/>
                <w:szCs w:val="18"/>
              </w:rPr>
              <w:t>16525</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1043597</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1583,5</w:t>
            </w:r>
          </w:p>
        </w:tc>
        <w:tc>
          <w:tcPr>
            <w:tcW w:w="0" w:type="auto"/>
            <w:tcBorders/>
            <w:vAlign w:val="center"/>
            <w:hideMark/>
          </w:tcPr>
          <w:p>
            <w:pPr>
              <w:pStyle w:val="style0"/>
              <w:jc w:val="center"/>
              <w:rPr>
                <w:rFonts w:ascii="Arial" w:cs="Arial" w:hAnsi="Arial"/>
                <w:b/>
                <w:bCs/>
                <w:color w:val="000000"/>
                <w:sz w:val="18"/>
                <w:szCs w:val="18"/>
              </w:rPr>
            </w:pPr>
            <w:r>
              <w:rPr>
                <w:rFonts w:ascii="Arial" w:cs="Arial" w:hAnsi="Arial"/>
                <w:b/>
                <w:bCs/>
                <w:color w:val="000000"/>
                <w:sz w:val="18"/>
                <w:szCs w:val="18"/>
              </w:rPr>
              <w:t>277</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1,7</w:t>
            </w:r>
          </w:p>
        </w:tc>
      </w:tr>
      <w:tr>
        <w:tblPrEx/>
        <w:trPr>
          <w:trHeight w:val="240" w:hRule="atLeast"/>
        </w:trPr>
        <w:tc>
          <w:tcPr>
            <w:tcW w:w="0" w:type="auto"/>
            <w:tcBorders/>
            <w:hideMark/>
          </w:tcPr>
          <w:p>
            <w:pPr>
              <w:pStyle w:val="style0"/>
              <w:spacing w:lineRule="auto" w:line="276"/>
              <w:rPr>
                <w:rFonts w:ascii="Arial" w:cs="Arial" w:eastAsia="Times New Roman" w:hAnsi="Arial"/>
                <w:sz w:val="18"/>
                <w:szCs w:val="18"/>
              </w:rPr>
            </w:pPr>
            <w:r>
              <w:rPr>
                <w:rFonts w:ascii="Arial" w:cs="Arial" w:eastAsia="Times New Roman" w:hAnsi="Arial"/>
                <w:sz w:val="18"/>
                <w:szCs w:val="18"/>
              </w:rPr>
              <w:t>BOGOTA</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94151</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8380801</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1123,4</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2471</w:t>
            </w:r>
          </w:p>
        </w:tc>
        <w:tc>
          <w:tcPr>
            <w:tcW w:w="0" w:type="auto"/>
            <w:tcBorders/>
            <w:vAlign w:val="center"/>
            <w:hideMark/>
          </w:tcPr>
          <w:p>
            <w:pPr>
              <w:pStyle w:val="style0"/>
              <w:jc w:val="center"/>
              <w:rPr>
                <w:rFonts w:ascii="Arial" w:cs="Arial" w:hAnsi="Arial"/>
                <w:sz w:val="18"/>
                <w:szCs w:val="18"/>
              </w:rPr>
            </w:pPr>
            <w:r>
              <w:rPr>
                <w:rFonts w:ascii="Arial" w:cs="Arial" w:hAnsi="Arial"/>
                <w:sz w:val="18"/>
                <w:szCs w:val="18"/>
              </w:rPr>
              <w:t>2,6</w:t>
            </w:r>
          </w:p>
        </w:tc>
      </w:tr>
    </w:tbl>
    <w:p>
      <w:pPr>
        <w:pStyle w:val="style0"/>
        <w:spacing w:lineRule="auto" w:line="276"/>
        <w:jc w:val="both"/>
        <w:rPr>
          <w:rFonts w:ascii="Arial" w:cs="Arial" w:hAnsi="Arial"/>
          <w:sz w:val="18"/>
          <w:szCs w:val="18"/>
        </w:rPr>
      </w:pPr>
      <w:r>
        <w:rPr>
          <w:rFonts w:ascii="Arial" w:cs="Arial" w:hAnsi="Arial"/>
          <w:sz w:val="18"/>
          <w:szCs w:val="18"/>
        </w:rPr>
        <w:t xml:space="preserve">Fuente: Denominador: Departamento Administrativo Nacional de Estadística: </w:t>
      </w:r>
      <w:r>
        <w:rPr/>
        <w:fldChar w:fldCharType="begin"/>
      </w:r>
      <w:r>
        <w:instrText xml:space="preserve"> HYPERLINK "http://www.dane.gov.co" </w:instrText>
      </w:r>
      <w:r>
        <w:rPr/>
        <w:fldChar w:fldCharType="separate"/>
      </w:r>
      <w:r>
        <w:rPr>
          <w:rStyle w:val="style85"/>
          <w:rFonts w:ascii="Arial" w:cs="Arial" w:hAnsi="Arial"/>
          <w:sz w:val="18"/>
          <w:szCs w:val="18"/>
        </w:rPr>
        <w:t>www.dane.gov.co</w:t>
      </w:r>
      <w:r>
        <w:rPr/>
        <w:fldChar w:fldCharType="end"/>
      </w:r>
      <w:r>
        <w:rPr>
          <w:rFonts w:ascii="Arial" w:cs="Arial" w:hAnsi="Arial"/>
          <w:sz w:val="18"/>
          <w:szCs w:val="18"/>
        </w:rPr>
        <w:t xml:space="preserve"> - Numerador: Base SIVIGILA local, Notificación Inter local (Construcción</w:t>
      </w:r>
      <w:r>
        <w:rPr>
          <w:rFonts w:ascii="Arial" w:cs="Arial" w:hAnsi="Arial"/>
          <w:sz w:val="18"/>
          <w:szCs w:val="18"/>
        </w:rPr>
        <w:t xml:space="preserve"> SISSCO</w:t>
      </w:r>
      <w:r>
        <w:rPr>
          <w:rFonts w:ascii="Arial" w:cs="Arial" w:hAnsi="Arial"/>
          <w:sz w:val="18"/>
          <w:szCs w:val="18"/>
        </w:rPr>
        <w:t>), a Julio 29 de 2020</w:t>
      </w:r>
      <w:r>
        <w:rPr>
          <w:rFonts w:ascii="Arial" w:cs="Arial" w:hAnsi="Arial"/>
          <w:sz w:val="18"/>
          <w:szCs w:val="18"/>
        </w:rPr>
        <w:t>.</w:t>
      </w:r>
    </w:p>
    <w:p>
      <w:pPr>
        <w:pStyle w:val="style0"/>
        <w:spacing w:lineRule="auto" w:line="276"/>
        <w:jc w:val="both"/>
        <w:rPr>
          <w:rFonts w:ascii="Arial" w:cs="Arial" w:hAnsi="Arial"/>
          <w:sz w:val="18"/>
          <w:szCs w:val="18"/>
        </w:rPr>
      </w:pPr>
    </w:p>
    <w:p>
      <w:pPr>
        <w:pStyle w:val="style0"/>
        <w:rPr>
          <w:rFonts w:ascii="Arial" w:cs="Arial" w:hAnsi="Arial"/>
          <w:sz w:val="18"/>
          <w:szCs w:val="18"/>
        </w:rPr>
      </w:pPr>
    </w:p>
    <w:p>
      <w:pPr>
        <w:pStyle w:val="style157"/>
        <w:jc w:val="both"/>
        <w:rPr>
          <w:rFonts w:ascii="Arial" w:cs="Arial" w:eastAsia="Calibri" w:hAnsi="Arial"/>
          <w:lang w:eastAsia="en-US"/>
        </w:rPr>
      </w:pPr>
      <w:r>
        <w:rPr>
          <w:rFonts w:ascii="Arial" w:cs="Arial" w:eastAsia="Calibri" w:hAnsi="Arial"/>
          <w:lang w:eastAsia="en-US"/>
        </w:rPr>
        <w:t xml:space="preserve">En cuanto al grupo quinquenal los grupos de edad con mayor número de casos, se encuentran los grupos quinquenales que van desde los 20 años hasta los 59 años de edad; donde el grupo de edad que aporta el mayor número de casos </w:t>
      </w:r>
      <w:r>
        <w:rPr>
          <w:rFonts w:ascii="Arial" w:cs="Arial" w:eastAsia="Calibri" w:hAnsi="Arial"/>
          <w:lang w:eastAsia="en-US"/>
        </w:rPr>
        <w:t>es el de</w:t>
      </w:r>
      <w:r>
        <w:rPr>
          <w:rFonts w:ascii="Arial" w:cs="Arial" w:eastAsia="Calibri" w:hAnsi="Arial"/>
          <w:lang w:eastAsia="en-US"/>
        </w:rPr>
        <w:t xml:space="preserve"> de 20 a 24 años con 60 casos, seguido del grupo de 30 a 34 años de edad con 59 casos, el grupo de 35 a 39 años de edad con 51 casos, el grupo de 25 a 29 años de edad con 51 casos, el grupo de 15 a 19 años con 31 casos y el grupo de 45 a 49 años con 30 casos.</w:t>
      </w:r>
    </w:p>
    <w:p>
      <w:pPr>
        <w:pStyle w:val="style157"/>
        <w:jc w:val="both"/>
        <w:rPr>
          <w:rFonts w:ascii="Arial" w:cs="Arial" w:eastAsia="Calibri" w:hAnsi="Arial"/>
          <w:lang w:eastAsia="en-US"/>
        </w:rPr>
      </w:pPr>
    </w:p>
    <w:p>
      <w:pPr>
        <w:pStyle w:val="style34"/>
        <w:spacing w:lineRule="auto" w:line="276"/>
        <w:jc w:val="both"/>
        <w:rPr>
          <w:rFonts w:ascii="Arial" w:cs="Arial" w:hAnsi="Arial"/>
          <w:bCs w:val="false"/>
          <w:color w:val="auto"/>
          <w:sz w:val="20"/>
          <w:szCs w:val="20"/>
        </w:rPr>
      </w:pPr>
    </w:p>
    <w:p>
      <w:pPr>
        <w:pStyle w:val="style34"/>
        <w:spacing w:lineRule="auto" w:line="276"/>
        <w:jc w:val="both"/>
        <w:rPr>
          <w:rFonts w:ascii="Arial" w:cs="Arial" w:hAnsi="Arial"/>
          <w:bCs w:val="false"/>
          <w:color w:val="auto"/>
          <w:sz w:val="20"/>
          <w:szCs w:val="20"/>
        </w:rPr>
      </w:pPr>
      <w:r>
        <w:rPr>
          <w:rFonts w:ascii="Arial" w:cs="Arial" w:hAnsi="Arial"/>
          <w:bCs w:val="false"/>
          <w:color w:val="auto"/>
          <w:sz w:val="20"/>
          <w:szCs w:val="20"/>
        </w:rPr>
        <w:t>Tabla XX. Distribución por sexo y grupo quinquenal de casos positivos para la Covid-19 según localidad de residencia de la SISSCO, Julio 29 de 2020</w:t>
      </w:r>
    </w:p>
    <w:tbl>
      <w:tblPr>
        <w:tblStyle w:val="style4113"/>
        <w:tblW w:w="2084" w:type="pct"/>
        <w:tblInd w:w="3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2"/>
        <w:gridCol w:w="1133"/>
      </w:tblGrid>
      <w:tr>
        <w:trPr>
          <w:trHeight w:val="20" w:hRule="atLeast"/>
        </w:trPr>
        <w:tc>
          <w:tcPr>
            <w:tcW w:w="5000" w:type="pct"/>
            <w:gridSpan w:val="3"/>
            <w:tcBorders/>
            <w:shd w:val="clear" w:color="auto" w:fill="ff0000"/>
            <w:noWrap/>
          </w:tcPr>
          <w:p>
            <w:pPr>
              <w:pStyle w:val="style0"/>
              <w:jc w:val="center"/>
              <w:rPr>
                <w:rFonts w:ascii="Arial" w:cs="Arial" w:eastAsia="Times New Roman" w:hAnsi="Arial"/>
                <w:sz w:val="18"/>
                <w:szCs w:val="18"/>
              </w:rPr>
            </w:pPr>
            <w:r>
              <w:rPr>
                <w:rFonts w:ascii="Arial" w:cs="Arial" w:eastAsia="Times New Roman" w:hAnsi="Arial"/>
                <w:sz w:val="18"/>
                <w:szCs w:val="18"/>
              </w:rPr>
              <w:t>LOCALIDAD LA CANDELARIA</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color w:val="000000"/>
                <w:sz w:val="16"/>
                <w:szCs w:val="16"/>
              </w:rPr>
            </w:pPr>
            <w:r>
              <w:rPr>
                <w:rFonts w:ascii="Arial" w:cs="Arial" w:eastAsia="Times New Roman" w:hAnsi="Arial"/>
                <w:color w:val="000000"/>
                <w:sz w:val="16"/>
                <w:szCs w:val="16"/>
              </w:rPr>
              <w:t>RANGO DE EDAD</w:t>
            </w:r>
          </w:p>
        </w:tc>
        <w:tc>
          <w:tcPr>
            <w:tcW w:w="1348" w:type="pct"/>
            <w:tcBorders>
              <w:top w:val="none" w:sz="0" w:space="0" w:color="auto"/>
              <w:bottom w:val="none" w:sz="0" w:space="0" w:color="auto"/>
            </w:tcBorders>
          </w:tcPr>
          <w:p>
            <w:pPr>
              <w:pStyle w:val="style0"/>
              <w:jc w:val="center"/>
              <w:rPr>
                <w:rFonts w:ascii="Arial" w:cs="Arial" w:eastAsia="Times New Roman" w:hAnsi="Arial"/>
                <w:color w:val="000000"/>
                <w:sz w:val="16"/>
                <w:szCs w:val="16"/>
              </w:rPr>
            </w:pPr>
            <w:r>
              <w:rPr>
                <w:rFonts w:ascii="Arial" w:cs="Arial" w:eastAsia="Times New Roman" w:hAnsi="Arial"/>
                <w:b/>
                <w:bCs/>
                <w:color w:val="000000"/>
                <w:sz w:val="16"/>
                <w:szCs w:val="16"/>
              </w:rPr>
              <w:t>F</w:t>
            </w:r>
          </w:p>
        </w:tc>
        <w:tc>
          <w:tcPr>
            <w:tcW w:w="1539" w:type="pct"/>
            <w:tcBorders>
              <w:top w:val="none" w:sz="0" w:space="0" w:color="auto"/>
              <w:bottom w:val="none" w:sz="0" w:space="0" w:color="auto"/>
              <w:right w:val="none" w:sz="0" w:space="0" w:color="auto"/>
            </w:tcBorders>
          </w:tcPr>
          <w:p>
            <w:pPr>
              <w:pStyle w:val="style0"/>
              <w:jc w:val="center"/>
              <w:rPr>
                <w:rFonts w:ascii="Arial" w:cs="Arial" w:eastAsia="Times New Roman" w:hAnsi="Arial"/>
                <w:color w:val="000000"/>
                <w:sz w:val="16"/>
                <w:szCs w:val="16"/>
              </w:rPr>
            </w:pPr>
            <w:r>
              <w:rPr>
                <w:rFonts w:ascii="Arial" w:cs="Arial" w:eastAsia="Times New Roman" w:hAnsi="Arial"/>
                <w:b/>
                <w:bCs/>
                <w:color w:val="000000"/>
                <w:sz w:val="16"/>
                <w:szCs w:val="16"/>
              </w:rPr>
              <w:t>M</w:t>
            </w:r>
          </w:p>
        </w:tc>
      </w:tr>
      <w:tr>
        <w:tblPrEx/>
        <w:trPr>
          <w:trHeight w:val="20" w:hRule="atLeast"/>
        </w:trPr>
        <w:tc>
          <w:tcPr>
            <w:tcW w:w="2113" w:type="pct"/>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0-4</w:t>
            </w:r>
          </w:p>
        </w:tc>
        <w:tc>
          <w:tcPr>
            <w:tcW w:w="1348"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4</w:t>
            </w:r>
          </w:p>
        </w:tc>
        <w:tc>
          <w:tcPr>
            <w:tcW w:w="1539"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4</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5-9</w:t>
            </w:r>
          </w:p>
        </w:tc>
        <w:tc>
          <w:tcPr>
            <w:tcW w:w="1348" w:type="pct"/>
            <w:tcBorders>
              <w:top w:val="none" w:sz="0" w:space="0" w:color="auto"/>
              <w:bottom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w:t>
            </w:r>
          </w:p>
        </w:tc>
        <w:tc>
          <w:tcPr>
            <w:tcW w:w="1539" w:type="pct"/>
            <w:tcBorders>
              <w:top w:val="none" w:sz="0" w:space="0" w:color="auto"/>
              <w:bottom w:val="none" w:sz="0" w:space="0" w:color="auto"/>
              <w:right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3</w:t>
            </w:r>
          </w:p>
        </w:tc>
      </w:tr>
      <w:tr>
        <w:tblPrEx/>
        <w:trPr>
          <w:trHeight w:val="20" w:hRule="atLeast"/>
        </w:trPr>
        <w:tc>
          <w:tcPr>
            <w:tcW w:w="2113" w:type="pct"/>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10-14</w:t>
            </w:r>
          </w:p>
        </w:tc>
        <w:tc>
          <w:tcPr>
            <w:tcW w:w="1348"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4</w:t>
            </w:r>
          </w:p>
        </w:tc>
        <w:tc>
          <w:tcPr>
            <w:tcW w:w="1539"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5</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15-19</w:t>
            </w:r>
          </w:p>
        </w:tc>
        <w:tc>
          <w:tcPr>
            <w:tcW w:w="1348" w:type="pct"/>
            <w:tcBorders>
              <w:top w:val="none" w:sz="0" w:space="0" w:color="auto"/>
              <w:bottom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5</w:t>
            </w:r>
          </w:p>
        </w:tc>
        <w:tc>
          <w:tcPr>
            <w:tcW w:w="1539" w:type="pct"/>
            <w:tcBorders>
              <w:top w:val="none" w:sz="0" w:space="0" w:color="auto"/>
              <w:bottom w:val="none" w:sz="0" w:space="0" w:color="auto"/>
              <w:right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26</w:t>
            </w:r>
          </w:p>
        </w:tc>
      </w:tr>
      <w:tr>
        <w:tblPrEx/>
        <w:trPr>
          <w:trHeight w:val="20" w:hRule="atLeast"/>
        </w:trPr>
        <w:tc>
          <w:tcPr>
            <w:tcW w:w="2113" w:type="pct"/>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20-24</w:t>
            </w:r>
          </w:p>
        </w:tc>
        <w:tc>
          <w:tcPr>
            <w:tcW w:w="1348"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20</w:t>
            </w:r>
          </w:p>
        </w:tc>
        <w:tc>
          <w:tcPr>
            <w:tcW w:w="1539"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40</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25-29</w:t>
            </w:r>
          </w:p>
        </w:tc>
        <w:tc>
          <w:tcPr>
            <w:tcW w:w="1348" w:type="pct"/>
            <w:tcBorders>
              <w:top w:val="none" w:sz="0" w:space="0" w:color="auto"/>
              <w:bottom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22</w:t>
            </w:r>
          </w:p>
        </w:tc>
        <w:tc>
          <w:tcPr>
            <w:tcW w:w="1539" w:type="pct"/>
            <w:tcBorders>
              <w:top w:val="none" w:sz="0" w:space="0" w:color="auto"/>
              <w:bottom w:val="none" w:sz="0" w:space="0" w:color="auto"/>
              <w:right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29</w:t>
            </w:r>
          </w:p>
        </w:tc>
      </w:tr>
      <w:tr>
        <w:tblPrEx/>
        <w:trPr>
          <w:trHeight w:val="20" w:hRule="atLeast"/>
        </w:trPr>
        <w:tc>
          <w:tcPr>
            <w:tcW w:w="2113" w:type="pct"/>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30-34</w:t>
            </w:r>
          </w:p>
        </w:tc>
        <w:tc>
          <w:tcPr>
            <w:tcW w:w="1348"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20</w:t>
            </w:r>
          </w:p>
        </w:tc>
        <w:tc>
          <w:tcPr>
            <w:tcW w:w="1539"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39</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35-39</w:t>
            </w:r>
          </w:p>
        </w:tc>
        <w:tc>
          <w:tcPr>
            <w:tcW w:w="1348" w:type="pct"/>
            <w:tcBorders>
              <w:top w:val="none" w:sz="0" w:space="0" w:color="auto"/>
              <w:bottom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16</w:t>
            </w:r>
          </w:p>
        </w:tc>
        <w:tc>
          <w:tcPr>
            <w:tcW w:w="1539" w:type="pct"/>
            <w:tcBorders>
              <w:top w:val="none" w:sz="0" w:space="0" w:color="auto"/>
              <w:bottom w:val="none" w:sz="0" w:space="0" w:color="auto"/>
              <w:right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35</w:t>
            </w:r>
          </w:p>
        </w:tc>
      </w:tr>
      <w:tr>
        <w:tblPrEx/>
        <w:trPr>
          <w:trHeight w:val="20" w:hRule="atLeast"/>
        </w:trPr>
        <w:tc>
          <w:tcPr>
            <w:tcW w:w="2113" w:type="pct"/>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40-44</w:t>
            </w:r>
          </w:p>
        </w:tc>
        <w:tc>
          <w:tcPr>
            <w:tcW w:w="1348"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14</w:t>
            </w:r>
          </w:p>
        </w:tc>
        <w:tc>
          <w:tcPr>
            <w:tcW w:w="1539"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11</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45-49</w:t>
            </w:r>
          </w:p>
        </w:tc>
        <w:tc>
          <w:tcPr>
            <w:tcW w:w="1348" w:type="pct"/>
            <w:tcBorders>
              <w:top w:val="none" w:sz="0" w:space="0" w:color="auto"/>
              <w:bottom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10</w:t>
            </w:r>
          </w:p>
        </w:tc>
        <w:tc>
          <w:tcPr>
            <w:tcW w:w="1539" w:type="pct"/>
            <w:tcBorders>
              <w:top w:val="none" w:sz="0" w:space="0" w:color="auto"/>
              <w:bottom w:val="none" w:sz="0" w:space="0" w:color="auto"/>
              <w:right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20</w:t>
            </w:r>
          </w:p>
        </w:tc>
      </w:tr>
      <w:tr>
        <w:tblPrEx/>
        <w:trPr>
          <w:trHeight w:val="20" w:hRule="atLeast"/>
        </w:trPr>
        <w:tc>
          <w:tcPr>
            <w:tcW w:w="2113" w:type="pct"/>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50-54</w:t>
            </w:r>
          </w:p>
        </w:tc>
        <w:tc>
          <w:tcPr>
            <w:tcW w:w="1348"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11</w:t>
            </w:r>
          </w:p>
        </w:tc>
        <w:tc>
          <w:tcPr>
            <w:tcW w:w="1539"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16</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55-59</w:t>
            </w:r>
          </w:p>
        </w:tc>
        <w:tc>
          <w:tcPr>
            <w:tcW w:w="1348" w:type="pct"/>
            <w:tcBorders>
              <w:top w:val="none" w:sz="0" w:space="0" w:color="auto"/>
              <w:bottom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8</w:t>
            </w:r>
          </w:p>
        </w:tc>
        <w:tc>
          <w:tcPr>
            <w:tcW w:w="1539" w:type="pct"/>
            <w:tcBorders>
              <w:top w:val="none" w:sz="0" w:space="0" w:color="auto"/>
              <w:bottom w:val="none" w:sz="0" w:space="0" w:color="auto"/>
              <w:right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16</w:t>
            </w:r>
          </w:p>
        </w:tc>
      </w:tr>
      <w:tr>
        <w:tblPrEx/>
        <w:trPr>
          <w:trHeight w:val="20" w:hRule="atLeast"/>
        </w:trPr>
        <w:tc>
          <w:tcPr>
            <w:tcW w:w="2113" w:type="pct"/>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60-64</w:t>
            </w:r>
          </w:p>
        </w:tc>
        <w:tc>
          <w:tcPr>
            <w:tcW w:w="1348"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16</w:t>
            </w:r>
          </w:p>
        </w:tc>
        <w:tc>
          <w:tcPr>
            <w:tcW w:w="1539"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14</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65-69</w:t>
            </w:r>
          </w:p>
        </w:tc>
        <w:tc>
          <w:tcPr>
            <w:tcW w:w="1348" w:type="pct"/>
            <w:tcBorders>
              <w:top w:val="none" w:sz="0" w:space="0" w:color="auto"/>
              <w:bottom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4</w:t>
            </w:r>
          </w:p>
        </w:tc>
        <w:tc>
          <w:tcPr>
            <w:tcW w:w="1539" w:type="pct"/>
            <w:tcBorders>
              <w:top w:val="none" w:sz="0" w:space="0" w:color="auto"/>
              <w:bottom w:val="none" w:sz="0" w:space="0" w:color="auto"/>
              <w:right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7</w:t>
            </w:r>
          </w:p>
        </w:tc>
      </w:tr>
      <w:tr>
        <w:tblPrEx/>
        <w:trPr>
          <w:trHeight w:val="20" w:hRule="atLeast"/>
        </w:trPr>
        <w:tc>
          <w:tcPr>
            <w:tcW w:w="2113" w:type="pct"/>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70-74</w:t>
            </w:r>
          </w:p>
        </w:tc>
        <w:tc>
          <w:tcPr>
            <w:tcW w:w="1348"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4</w:t>
            </w:r>
          </w:p>
        </w:tc>
        <w:tc>
          <w:tcPr>
            <w:tcW w:w="1539"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7</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75-79</w:t>
            </w:r>
          </w:p>
        </w:tc>
        <w:tc>
          <w:tcPr>
            <w:tcW w:w="1348" w:type="pct"/>
            <w:tcBorders>
              <w:top w:val="none" w:sz="0" w:space="0" w:color="auto"/>
              <w:bottom w:val="none" w:sz="0" w:space="0" w:color="auto"/>
            </w:tcBorders>
            <w:vAlign w:val="bottom"/>
          </w:tcPr>
          <w:p>
            <w:pPr>
              <w:pStyle w:val="style0"/>
              <w:jc w:val="center"/>
              <w:rPr>
                <w:rFonts w:ascii="Arial" w:cs="Arial" w:eastAsia="Times New Roman" w:hAnsi="Arial"/>
                <w:color w:val="000000"/>
                <w:sz w:val="16"/>
                <w:szCs w:val="16"/>
              </w:rPr>
            </w:pPr>
          </w:p>
        </w:tc>
        <w:tc>
          <w:tcPr>
            <w:tcW w:w="1539" w:type="pct"/>
            <w:tcBorders>
              <w:top w:val="none" w:sz="0" w:space="0" w:color="auto"/>
              <w:bottom w:val="none" w:sz="0" w:space="0" w:color="auto"/>
              <w:right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7</w:t>
            </w:r>
          </w:p>
        </w:tc>
      </w:tr>
      <w:tr>
        <w:tblPrEx/>
        <w:trPr>
          <w:trHeight w:val="20" w:hRule="atLeast"/>
        </w:trPr>
        <w:tc>
          <w:tcPr>
            <w:tcW w:w="2113" w:type="pct"/>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80-84</w:t>
            </w:r>
          </w:p>
        </w:tc>
        <w:tc>
          <w:tcPr>
            <w:tcW w:w="1348"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1</w:t>
            </w:r>
          </w:p>
        </w:tc>
        <w:tc>
          <w:tcPr>
            <w:tcW w:w="1539"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2</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85-89</w:t>
            </w:r>
          </w:p>
        </w:tc>
        <w:tc>
          <w:tcPr>
            <w:tcW w:w="1348" w:type="pct"/>
            <w:tcBorders>
              <w:top w:val="none" w:sz="0" w:space="0" w:color="auto"/>
              <w:bottom w:val="none" w:sz="0" w:space="0" w:color="auto"/>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3</w:t>
            </w:r>
          </w:p>
        </w:tc>
        <w:tc>
          <w:tcPr>
            <w:tcW w:w="1539" w:type="pct"/>
            <w:tcBorders>
              <w:top w:val="none" w:sz="0" w:space="0" w:color="auto"/>
              <w:bottom w:val="none" w:sz="0" w:space="0" w:color="auto"/>
              <w:right w:val="none" w:sz="0" w:space="0" w:color="auto"/>
            </w:tcBorders>
            <w:vAlign w:val="bottom"/>
          </w:tcPr>
          <w:p>
            <w:pPr>
              <w:pStyle w:val="style0"/>
              <w:jc w:val="center"/>
              <w:rPr>
                <w:rFonts w:ascii="Arial" w:cs="Arial" w:eastAsia="Times New Roman" w:hAnsi="Arial"/>
                <w:color w:val="000000"/>
                <w:sz w:val="16"/>
                <w:szCs w:val="16"/>
              </w:rPr>
            </w:pPr>
          </w:p>
        </w:tc>
      </w:tr>
      <w:tr>
        <w:tblPrEx/>
        <w:trPr>
          <w:trHeight w:val="20" w:hRule="atLeast"/>
        </w:trPr>
        <w:tc>
          <w:tcPr>
            <w:tcW w:w="2113" w:type="pct"/>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90-94</w:t>
            </w:r>
          </w:p>
        </w:tc>
        <w:tc>
          <w:tcPr>
            <w:tcW w:w="1348" w:type="pct"/>
            <w:tcBorders/>
            <w:vAlign w:val="bottom"/>
          </w:tcPr>
          <w:p>
            <w:pPr>
              <w:pStyle w:val="style0"/>
              <w:jc w:val="center"/>
              <w:rPr>
                <w:rFonts w:ascii="Arial" w:cs="Arial" w:eastAsia="Times New Roman" w:hAnsi="Arial"/>
                <w:color w:val="000000"/>
                <w:sz w:val="16"/>
                <w:szCs w:val="16"/>
              </w:rPr>
            </w:pPr>
          </w:p>
        </w:tc>
        <w:tc>
          <w:tcPr>
            <w:tcW w:w="1539" w:type="pct"/>
            <w:tcBorders/>
            <w:vAlign w:val="bottom"/>
          </w:tcPr>
          <w:p>
            <w:pPr>
              <w:pStyle w:val="style0"/>
              <w:jc w:val="center"/>
              <w:rPr>
                <w:rFonts w:ascii="Arial" w:cs="Arial" w:eastAsia="Times New Roman" w:hAnsi="Arial"/>
                <w:color w:val="000000"/>
                <w:sz w:val="16"/>
                <w:szCs w:val="16"/>
              </w:rPr>
            </w:pPr>
            <w:r>
              <w:rPr>
                <w:rFonts w:ascii="Calibri" w:cs="Calibri" w:hAnsi="Calibri"/>
                <w:color w:val="000000"/>
                <w:sz w:val="16"/>
                <w:szCs w:val="16"/>
              </w:rPr>
              <w:t>2</w:t>
            </w:r>
          </w:p>
        </w:tc>
      </w:tr>
      <w:tr>
        <w:tblPrEx/>
        <w:trPr>
          <w:trHeight w:val="20" w:hRule="atLeast"/>
        </w:trPr>
        <w:tc>
          <w:tcPr>
            <w:tcW w:w="2113" w:type="pct"/>
            <w:tcBorders>
              <w:top w:val="none" w:sz="0" w:space="0" w:color="auto"/>
              <w:left w:val="none" w:sz="0" w:space="0" w:color="auto"/>
              <w:bottom w:val="none" w:sz="0" w:space="0" w:color="auto"/>
            </w:tcBorders>
            <w:noWrap/>
            <w:hideMark/>
          </w:tcPr>
          <w:p>
            <w:pPr>
              <w:pStyle w:val="style0"/>
              <w:jc w:val="center"/>
              <w:rPr>
                <w:rFonts w:ascii="Arial" w:cs="Arial" w:eastAsia="Times New Roman" w:hAnsi="Arial"/>
                <w:b w:val="false"/>
                <w:bCs w:val="false"/>
                <w:color w:val="000000"/>
                <w:sz w:val="16"/>
                <w:szCs w:val="16"/>
              </w:rPr>
            </w:pPr>
            <w:r>
              <w:rPr>
                <w:rFonts w:ascii="Arial" w:cs="Arial" w:eastAsia="Times New Roman" w:hAnsi="Arial"/>
                <w:b w:val="false"/>
                <w:bCs w:val="false"/>
                <w:color w:val="000000"/>
                <w:sz w:val="16"/>
                <w:szCs w:val="16"/>
              </w:rPr>
              <w:t>95-99</w:t>
            </w:r>
          </w:p>
        </w:tc>
        <w:tc>
          <w:tcPr>
            <w:tcW w:w="1348" w:type="pct"/>
            <w:tcBorders>
              <w:top w:val="none" w:sz="0" w:space="0" w:color="auto"/>
              <w:bottom w:val="none" w:sz="0" w:space="0" w:color="auto"/>
            </w:tcBorders>
            <w:vAlign w:val="bottom"/>
          </w:tcPr>
          <w:p>
            <w:pPr>
              <w:pStyle w:val="style0"/>
              <w:jc w:val="center"/>
              <w:rPr>
                <w:rFonts w:ascii="Arial" w:cs="Arial" w:eastAsia="Times New Roman" w:hAnsi="Arial"/>
                <w:color w:val="000000"/>
                <w:sz w:val="16"/>
                <w:szCs w:val="16"/>
              </w:rPr>
            </w:pPr>
          </w:p>
        </w:tc>
        <w:tc>
          <w:tcPr>
            <w:tcW w:w="1539" w:type="pct"/>
            <w:tcBorders>
              <w:top w:val="none" w:sz="0" w:space="0" w:color="auto"/>
              <w:bottom w:val="none" w:sz="0" w:space="0" w:color="auto"/>
              <w:right w:val="none" w:sz="0" w:space="0" w:color="auto"/>
            </w:tcBorders>
            <w:vAlign w:val="bottom"/>
          </w:tcPr>
          <w:p>
            <w:pPr>
              <w:pStyle w:val="style0"/>
              <w:jc w:val="center"/>
              <w:rPr>
                <w:rFonts w:ascii="Arial" w:cs="Arial" w:eastAsia="Times New Roman" w:hAnsi="Arial"/>
                <w:color w:val="000000"/>
                <w:sz w:val="16"/>
                <w:szCs w:val="16"/>
              </w:rPr>
            </w:pPr>
          </w:p>
        </w:tc>
      </w:tr>
    </w:tbl>
    <w:p>
      <w:pPr>
        <w:pStyle w:val="style0"/>
        <w:spacing w:lineRule="auto" w:line="276"/>
        <w:jc w:val="center"/>
        <w:rPr>
          <w:rFonts w:ascii="Arial" w:cs="Arial" w:hAnsi="Arial"/>
          <w:sz w:val="18"/>
          <w:szCs w:val="18"/>
        </w:rPr>
      </w:pPr>
      <w:r>
        <w:rPr>
          <w:rFonts w:ascii="Arial" w:cs="Arial" w:hAnsi="Arial"/>
          <w:sz w:val="18"/>
          <w:szCs w:val="18"/>
        </w:rPr>
        <w:t xml:space="preserve">              </w:t>
      </w:r>
      <w:r>
        <w:rPr>
          <w:rFonts w:ascii="Arial" w:cs="Arial" w:hAnsi="Arial"/>
          <w:sz w:val="18"/>
          <w:szCs w:val="18"/>
        </w:rPr>
        <w:t>Fuente:</w:t>
      </w:r>
      <w:r>
        <w:rPr>
          <w:rFonts w:ascii="Arial" w:cs="Arial" w:hAnsi="Arial"/>
          <w:sz w:val="18"/>
          <w:szCs w:val="18"/>
        </w:rPr>
        <w:t xml:space="preserve"> </w:t>
      </w:r>
      <w:r>
        <w:rPr>
          <w:rFonts w:ascii="Arial" w:cs="Arial" w:hAnsi="Arial"/>
          <w:sz w:val="18"/>
          <w:szCs w:val="18"/>
        </w:rPr>
        <w:t>VSP-SISSCO a Julio 29 de 2020</w:t>
      </w:r>
      <w:r>
        <w:rPr>
          <w:rFonts w:ascii="Arial" w:cs="Arial" w:hAnsi="Arial"/>
          <w:bCs/>
          <w:sz w:val="20"/>
          <w:szCs w:val="20"/>
        </w:rPr>
        <w:t xml:space="preserve">                                                   </w:t>
      </w:r>
    </w:p>
    <w:p>
      <w:pPr>
        <w:pStyle w:val="style0"/>
        <w:jc w:val="both"/>
        <w:rPr>
          <w:rFonts w:ascii="Arial" w:cs="Arial" w:hAnsi="Arial"/>
          <w:bCs/>
        </w:rPr>
      </w:pPr>
      <w:r>
        <w:rPr>
          <w:rFonts w:ascii="Arial" w:cs="Arial" w:hAnsi="Arial"/>
          <w:bCs/>
        </w:rPr>
        <w:t>En el mapa de la localidad La Candelaria, se puede observar que el mayor número de casos positivos se ubica en el barrio Centro Administrativo, seguido del barrio Santa Bárbara atribuido al brote presentado en el Batallón Guardia Presidencial, la mayor concentración de la población</w:t>
      </w:r>
      <w:r>
        <w:rPr>
          <w:rFonts w:ascii="Arial" w:cs="Arial" w:hAnsi="Arial"/>
          <w:bCs/>
        </w:rPr>
        <w:t xml:space="preserve"> afectada se ubica en la </w:t>
      </w:r>
      <w:r>
        <w:rPr>
          <w:rFonts w:ascii="Arial" w:cs="Arial" w:hAnsi="Arial"/>
          <w:bCs/>
        </w:rPr>
        <w:t>adultez, seguid</w:t>
      </w:r>
      <w:r>
        <w:rPr>
          <w:rFonts w:ascii="Arial" w:cs="Arial" w:hAnsi="Arial"/>
          <w:bCs/>
        </w:rPr>
        <w:t>o</w:t>
      </w:r>
      <w:r>
        <w:rPr>
          <w:rFonts w:ascii="Arial" w:cs="Arial" w:hAnsi="Arial"/>
          <w:bCs/>
        </w:rPr>
        <w:t xml:space="preserve"> de juventud y vejez.</w:t>
      </w:r>
      <w:r>
        <w:rPr>
          <w:rFonts w:ascii="Arial" w:cs="Arial" w:hAnsi="Arial"/>
          <w:bCs/>
        </w:rPr>
        <w:t xml:space="preserve"> </w:t>
      </w:r>
    </w:p>
    <w:p>
      <w:pPr>
        <w:pStyle w:val="style0"/>
        <w:spacing w:lineRule="auto" w:line="276"/>
        <w:rPr>
          <w:rFonts w:ascii="Arial" w:cs="Arial" w:hAnsi="Arial"/>
          <w:b/>
          <w:bCs/>
          <w:sz w:val="20"/>
          <w:szCs w:val="20"/>
        </w:rPr>
      </w:pPr>
      <w:r>
        <w:rPr>
          <w:rFonts w:ascii="Arial" w:cs="Arial" w:hAnsi="Arial"/>
          <w:b/>
          <w:bCs/>
          <w:sz w:val="20"/>
          <w:szCs w:val="20"/>
        </w:rPr>
        <w:t xml:space="preserve">Gráfico 8. Distribución geográfica de casos positivos para Covid-19 por lugar de residencia en la localidad La Candelaria. </w:t>
      </w:r>
      <w:r>
        <w:rPr>
          <w:rFonts w:ascii="Arial" w:cs="Arial" w:hAnsi="Arial"/>
          <w:b/>
          <w:bCs/>
          <w:sz w:val="20"/>
          <w:szCs w:val="20"/>
        </w:rPr>
        <w:t xml:space="preserve">Julio 29 </w:t>
      </w:r>
      <w:r>
        <w:rPr>
          <w:rFonts w:ascii="Arial" w:cs="Arial" w:hAnsi="Arial"/>
          <w:b/>
          <w:bCs/>
          <w:sz w:val="20"/>
          <w:szCs w:val="20"/>
        </w:rPr>
        <w:t>de 2020</w:t>
      </w:r>
    </w:p>
    <w:p>
      <w:pPr>
        <w:pStyle w:val="style0"/>
        <w:spacing w:lineRule="auto" w:line="276"/>
        <w:rPr>
          <w:rStyle w:val="style4099"/>
          <w:color w:val="auto"/>
          <w:lang w:val="es-MX"/>
        </w:rPr>
      </w:pPr>
      <w:r>
        <w:rPr>
          <w:noProof/>
          <w:lang w:eastAsia="es-CO"/>
        </w:rPr>
        <w:drawing>
          <wp:inline distL="0" distT="0" distB="0" distR="0">
            <wp:extent cx="5632673" cy="2940710"/>
            <wp:effectExtent l="0" t="0" r="6350" b="0"/>
            <wp:docPr id="1030" name="Imagen 2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n 29"/>
                    <pic:cNvPicPr/>
                  </pic:nvPicPr>
                  <pic:blipFill>
                    <a:blip r:embed="rId8" cstate="print"/>
                    <a:srcRect l="1826" t="1242" r="1623" b="0"/>
                    <a:stretch/>
                  </pic:blipFill>
                  <pic:spPr>
                    <a:xfrm rot="0">
                      <a:off x="0" y="0"/>
                      <a:ext cx="5632673" cy="2940710"/>
                    </a:xfrm>
                    <a:prstGeom prst="rect"/>
                    <a:ln>
                      <a:noFill/>
                    </a:ln>
                  </pic:spPr>
                </pic:pic>
              </a:graphicData>
            </a:graphic>
          </wp:inline>
        </w:drawing>
      </w:r>
    </w:p>
    <w:p>
      <w:pPr>
        <w:pStyle w:val="style0"/>
        <w:spacing w:lineRule="auto" w:line="276"/>
        <w:rPr>
          <w:rStyle w:val="style4099"/>
          <w:color w:val="auto"/>
          <w:lang w:val="es-MX"/>
        </w:rPr>
      </w:pPr>
    </w:p>
    <w:bookmarkStart w:id="12" w:name="_Toc47364975"/>
    <w:bookmarkStart w:id="13" w:name="_Toc47477388"/>
    <w:p>
      <w:pPr>
        <w:pStyle w:val="style1"/>
        <w:rPr>
          <w:rStyle w:val="style4099"/>
          <w:color w:val="auto"/>
        </w:rPr>
      </w:pPr>
      <w:r>
        <w:rPr>
          <w:rStyle w:val="style4099"/>
          <w:color w:val="auto"/>
        </w:rPr>
        <w:t>DIAGN</w:t>
      </w:r>
      <w:r>
        <w:rPr>
          <w:rStyle w:val="style4099"/>
          <w:color w:val="auto"/>
        </w:rPr>
        <w:t>Ó</w:t>
      </w:r>
      <w:r>
        <w:rPr>
          <w:rStyle w:val="style4099"/>
          <w:color w:val="auto"/>
        </w:rPr>
        <w:t>STICO POR COMPONENTES DE INVERSIÓN</w:t>
      </w:r>
      <w:bookmarkEnd w:id="12"/>
      <w:bookmarkEnd w:id="13"/>
    </w:p>
    <w:p>
      <w:pPr>
        <w:pStyle w:val="style94"/>
        <w:shd w:val="clear" w:color="auto" w:fill="ffffff"/>
        <w:spacing w:before="0" w:beforeAutospacing="false" w:after="150" w:afterAutospacing="false"/>
        <w:jc w:val="both"/>
        <w:rPr>
          <w:rStyle w:val="style4099"/>
          <w:color w:val="auto"/>
          <w:lang w:val="es-MX"/>
        </w:rPr>
      </w:pPr>
    </w:p>
    <w:bookmarkStart w:id="14" w:name="_Toc47364976"/>
    <w:bookmarkStart w:id="15" w:name="_Toc47477389"/>
    <w:p>
      <w:pPr>
        <w:pStyle w:val="style2"/>
        <w:rPr>
          <w:rFonts w:ascii="Arial" w:cs="Arial" w:hAnsi="Arial"/>
          <w:color w:val="auto"/>
          <w:sz w:val="22"/>
          <w:szCs w:val="22"/>
          <w:lang w:val="es-MX"/>
        </w:rPr>
      </w:pPr>
      <w:r>
        <w:rPr>
          <w:rFonts w:ascii="Arial" w:cs="Arial" w:hAnsi="Arial"/>
          <w:color w:val="auto"/>
          <w:sz w:val="22"/>
          <w:szCs w:val="22"/>
          <w:lang w:val="es-MX"/>
        </w:rPr>
        <w:t>COMPONENTE INFLEXIBLE DE INVERSIÓN</w:t>
      </w:r>
      <w:bookmarkEnd w:id="14"/>
      <w:bookmarkEnd w:id="15"/>
      <w:r>
        <w:rPr>
          <w:rFonts w:ascii="Arial" w:cs="Arial" w:hAnsi="Arial"/>
          <w:color w:val="auto"/>
          <w:sz w:val="22"/>
          <w:szCs w:val="22"/>
          <w:lang w:val="es-MX"/>
        </w:rPr>
        <w:t xml:space="preserve"> </w:t>
      </w:r>
    </w:p>
    <w:p>
      <w:pPr>
        <w:pStyle w:val="style0"/>
        <w:rPr>
          <w:rFonts w:ascii="Arial" w:cs="Arial" w:hAnsi="Arial"/>
          <w:lang w:val="es-MX"/>
        </w:rPr>
      </w:pPr>
    </w:p>
    <w:bookmarkStart w:id="16" w:name="_Toc47364977"/>
    <w:bookmarkStart w:id="17" w:name="_Toc47477390"/>
    <w:p>
      <w:pPr>
        <w:pStyle w:val="style3"/>
        <w:rPr>
          <w:rFonts w:ascii="Arial" w:cs="Arial" w:hAnsi="Arial"/>
          <w:color w:val="auto"/>
          <w:sz w:val="22"/>
          <w:szCs w:val="22"/>
          <w:lang w:val="es-MX"/>
        </w:rPr>
      </w:pPr>
      <w:r>
        <w:rPr>
          <w:rFonts w:ascii="Arial" w:cs="Arial" w:hAnsi="Arial"/>
          <w:color w:val="auto"/>
          <w:sz w:val="22"/>
          <w:szCs w:val="22"/>
          <w:lang w:val="es-MX"/>
        </w:rPr>
        <w:t>FORTALECIMIENTO INSTITUCIONAL</w:t>
      </w:r>
      <w:bookmarkEnd w:id="16"/>
      <w:bookmarkEnd w:id="17"/>
    </w:p>
    <w:p>
      <w:pPr>
        <w:pStyle w:val="style0"/>
        <w:rPr>
          <w:lang w:val="es-MX"/>
        </w:rPr>
      </w:pPr>
    </w:p>
    <w:p>
      <w:pPr>
        <w:pStyle w:val="style0"/>
        <w:spacing w:after="0" w:lineRule="auto" w:line="240"/>
        <w:jc w:val="both"/>
        <w:rPr>
          <w:rFonts w:ascii="Arial" w:cs="Arial" w:hAnsi="Arial"/>
          <w:color w:val="000000"/>
          <w:lang w:val="es-MX"/>
        </w:rPr>
      </w:pPr>
      <w:r>
        <w:rPr>
          <w:rFonts w:ascii="Arial" w:cs="Arial" w:hAnsi="Arial"/>
          <w:color w:val="000000"/>
          <w:lang w:val="es-MX"/>
        </w:rPr>
        <w:t xml:space="preserve">De conformidad con el Decreto 411 de 2016, las Alcaldías Locales hacen parte de la estructura organizacional de la Secretaría de Gobierno. El Acuerdo 740 de 2019 “Por el cual se dictan normas en relación con la organización y el funcionamiento de las localidades de Bogotá, D.C., el cual se encuentra </w:t>
      </w:r>
      <w:r>
        <w:rPr/>
        <w:fldChar w:fldCharType="begin"/>
      </w:r>
      <w:r>
        <w:instrText xml:space="preserve"> HYPERLINK "https://www.alcaldiabogota.gov.co/sisjur/normas/Norma1.jsp?i=88448" </w:instrText>
      </w:r>
      <w:r>
        <w:rPr/>
        <w:fldChar w:fldCharType="separate"/>
      </w:r>
      <w:r>
        <w:rPr>
          <w:rStyle w:val="style85"/>
          <w:rFonts w:ascii="Arial" w:cs="Arial" w:hAnsi="Arial"/>
          <w:color w:val="000000"/>
          <w:lang w:val="es-MX"/>
        </w:rPr>
        <w:t>reglamentado por el Decreto Distrital 768 de 2019</w:t>
      </w:r>
      <w:r>
        <w:rPr/>
        <w:fldChar w:fldCharType="end"/>
      </w:r>
      <w:r>
        <w:rPr>
          <w:rFonts w:ascii="Arial" w:cs="Arial" w:hAnsi="Arial"/>
          <w:color w:val="000000"/>
          <w:lang w:val="es-MX"/>
        </w:rPr>
        <w:t>, establece en su artículo 6:</w:t>
      </w:r>
    </w:p>
    <w:p>
      <w:pPr>
        <w:pStyle w:val="style0"/>
        <w:spacing w:after="0" w:lineRule="auto" w:line="240"/>
        <w:jc w:val="both"/>
        <w:rPr>
          <w:rFonts w:ascii="Arial" w:cs="Arial" w:hAnsi="Arial"/>
          <w:color w:val="000000"/>
          <w:lang w:val="es-MX"/>
        </w:rPr>
      </w:pPr>
    </w:p>
    <w:p>
      <w:pPr>
        <w:pStyle w:val="style0"/>
        <w:spacing w:after="0" w:lineRule="auto" w:line="240"/>
        <w:ind w:left="567"/>
        <w:jc w:val="both"/>
        <w:rPr>
          <w:rFonts w:ascii="Arial" w:cs="Arial" w:hAnsi="Arial"/>
          <w:color w:val="000000"/>
          <w:lang w:val="es-MX"/>
        </w:rPr>
      </w:pPr>
      <w:r>
        <w:rPr>
          <w:rFonts w:ascii="Arial" w:cs="Arial" w:hAnsi="Arial"/>
          <w:color w:val="000000"/>
          <w:lang w:val="es-MX"/>
        </w:rPr>
        <w:t xml:space="preserve"> “La Alcaldía Local es una dependencia de la Secretaría Distrital de Gobierno responsable de las competencias asignadas a los Alcaldes Locales. “</w:t>
      </w:r>
    </w:p>
    <w:p>
      <w:pPr>
        <w:pStyle w:val="style0"/>
        <w:shd w:val="clear" w:color="auto" w:fill="ffffff"/>
        <w:spacing w:after="0" w:lineRule="auto" w:line="240"/>
        <w:jc w:val="both"/>
        <w:rPr>
          <w:rFonts w:ascii="Arial" w:cs="Arial" w:hAnsi="Arial"/>
          <w:b/>
          <w:bCs/>
          <w:color w:val="000000"/>
        </w:rPr>
      </w:pPr>
    </w:p>
    <w:p>
      <w:pPr>
        <w:pStyle w:val="style0"/>
        <w:spacing w:after="0" w:lineRule="auto" w:line="240"/>
        <w:jc w:val="both"/>
        <w:rPr>
          <w:rFonts w:ascii="Arial" w:cs="Arial" w:hAnsi="Arial"/>
          <w:color w:val="000000"/>
          <w:lang w:val="es-MX"/>
        </w:rPr>
      </w:pPr>
      <w:r>
        <w:rPr>
          <w:rFonts w:ascii="Arial" w:cs="Arial" w:hAnsi="Arial"/>
          <w:color w:val="000000"/>
          <w:lang w:val="es-MX"/>
        </w:rPr>
        <w:t>Asimismo, en su artículo 7 establece las funciones de la Alcaldía Local, así:</w:t>
      </w:r>
    </w:p>
    <w:p>
      <w:pPr>
        <w:pStyle w:val="style0"/>
        <w:shd w:val="clear" w:color="auto" w:fill="ffffff"/>
        <w:spacing w:after="0" w:lineRule="auto" w:line="240"/>
        <w:jc w:val="both"/>
        <w:rPr>
          <w:color w:val="000000"/>
          <w:sz w:val="20"/>
          <w:szCs w:val="20"/>
        </w:rPr>
      </w:pPr>
      <w:r>
        <w:rPr>
          <w:rFonts w:ascii="Arial" w:cs="Arial" w:hAnsi="Arial"/>
          <w:color w:val="000000"/>
        </w:rPr>
        <w:t> </w:t>
      </w:r>
    </w:p>
    <w:p>
      <w:pPr>
        <w:pStyle w:val="style0"/>
        <w:shd w:val="clear" w:color="auto" w:fill="ffffff"/>
        <w:spacing w:after="0" w:lineRule="auto" w:line="240"/>
        <w:ind w:left="567"/>
        <w:jc w:val="both"/>
        <w:rPr>
          <w:rFonts w:ascii="Arial" w:cs="Arial" w:hAnsi="Arial"/>
          <w:b/>
          <w:bCs/>
          <w:color w:val="000000"/>
          <w:lang w:val="es-ES"/>
        </w:rPr>
      </w:pPr>
      <w:r>
        <w:rPr>
          <w:rFonts w:ascii="Arial" w:cs="Arial" w:hAnsi="Arial"/>
          <w:bCs/>
          <w:color w:val="000000"/>
          <w:lang w:val="es-ES"/>
        </w:rPr>
        <w:t>“</w:t>
      </w:r>
      <w:r>
        <w:rPr>
          <w:rFonts w:ascii="Arial" w:cs="Arial" w:hAnsi="Arial"/>
          <w:b/>
          <w:bCs/>
          <w:color w:val="000000"/>
          <w:lang w:val="es-ES"/>
        </w:rPr>
        <w:t>A.</w:t>
      </w:r>
      <w:r>
        <w:rPr>
          <w:color w:val="000000"/>
          <w:sz w:val="20"/>
          <w:szCs w:val="20"/>
        </w:rPr>
        <w:t> </w:t>
      </w:r>
      <w:r>
        <w:rPr>
          <w:rFonts w:ascii="Arial" w:cs="Arial" w:hAnsi="Arial"/>
          <w:b/>
          <w:bCs/>
          <w:color w:val="000000"/>
          <w:lang w:val="es-ES"/>
        </w:rPr>
        <w:t>Misionales.</w:t>
      </w:r>
    </w:p>
    <w:p>
      <w:pPr>
        <w:pStyle w:val="style0"/>
        <w:shd w:val="clear" w:color="auto" w:fill="ffffff"/>
        <w:spacing w:after="0" w:lineRule="auto" w:line="240"/>
        <w:ind w:left="567"/>
        <w:jc w:val="both"/>
        <w:rPr>
          <w:color w:val="000000"/>
          <w:sz w:val="20"/>
          <w:szCs w:val="20"/>
        </w:rPr>
      </w:pPr>
    </w:p>
    <w:p>
      <w:pPr>
        <w:pStyle w:val="style0"/>
        <w:shd w:val="clear" w:color="auto" w:fill="ffffff"/>
        <w:spacing w:after="0" w:lineRule="auto" w:line="240"/>
        <w:ind w:left="567"/>
        <w:jc w:val="both"/>
        <w:rPr>
          <w:rFonts w:ascii="Arial" w:cs="Arial" w:hAnsi="Arial"/>
          <w:color w:val="000000"/>
        </w:rPr>
      </w:pPr>
      <w:r>
        <w:rPr>
          <w:rFonts w:ascii="Arial" w:cs="Arial" w:hAnsi="Arial"/>
          <w:color w:val="000000"/>
          <w:lang w:val="es-ES"/>
        </w:rPr>
        <w:t> </w:t>
      </w:r>
      <w:r>
        <w:rPr>
          <w:rFonts w:ascii="Arial" w:cs="Arial" w:hAnsi="Arial"/>
          <w:color w:val="000000"/>
        </w:rPr>
        <w:t>1.</w:t>
      </w:r>
      <w:r>
        <w:rPr>
          <w:color w:val="000000"/>
          <w:sz w:val="20"/>
          <w:szCs w:val="20"/>
        </w:rPr>
        <w:t> </w:t>
      </w:r>
      <w:r>
        <w:rPr>
          <w:rFonts w:ascii="Arial" w:cs="Arial" w:hAnsi="Arial"/>
          <w:color w:val="000000"/>
        </w:rPr>
        <w:t>Promover la organización social y estimular la participación de los ciudadanos y organizaciones en los procesos de gestión pública local.</w:t>
      </w:r>
    </w:p>
    <w:p>
      <w:pPr>
        <w:pStyle w:val="style0"/>
        <w:shd w:val="clear" w:color="auto" w:fill="ffffff"/>
        <w:spacing w:after="0" w:lineRule="auto" w:line="240"/>
        <w:ind w:left="567"/>
        <w:jc w:val="both"/>
        <w:rPr>
          <w:color w:val="000000"/>
          <w:sz w:val="20"/>
          <w:szCs w:val="20"/>
        </w:rPr>
      </w:pPr>
    </w:p>
    <w:p>
      <w:pPr>
        <w:pStyle w:val="style0"/>
        <w:shd w:val="clear" w:color="auto" w:fill="ffffff"/>
        <w:spacing w:after="0" w:lineRule="auto" w:line="240"/>
        <w:ind w:left="567"/>
        <w:jc w:val="both"/>
        <w:rPr>
          <w:rFonts w:ascii="Arial" w:cs="Arial" w:hAnsi="Arial"/>
          <w:color w:val="000000"/>
        </w:rPr>
      </w:pPr>
      <w:r>
        <w:rPr>
          <w:rFonts w:ascii="Arial" w:cs="Arial" w:hAnsi="Arial"/>
          <w:color w:val="000000"/>
        </w:rPr>
        <w:t> 2.</w:t>
      </w:r>
      <w:r>
        <w:rPr>
          <w:color w:val="000000"/>
          <w:sz w:val="20"/>
          <w:szCs w:val="20"/>
        </w:rPr>
        <w:t> </w:t>
      </w:r>
      <w:r>
        <w:rPr>
          <w:rFonts w:ascii="Arial" w:cs="Arial" w:hAnsi="Arial"/>
          <w:color w:val="000000"/>
        </w:rPr>
        <w:t>Promover la convivencia pacífica, la aplicación de las normas de policía en lo que sea de su competencia conforme con la ley y coordinar los distintos mecanismos e instancias de resolución pacífica de conflictos, tales como mediación, conciliación, y facilitar la interlocución de todas las instancias y organismos que ejerzan funciones que impacten en la localidad.</w:t>
      </w:r>
    </w:p>
    <w:p>
      <w:pPr>
        <w:pStyle w:val="style0"/>
        <w:shd w:val="clear" w:color="auto" w:fill="ffffff"/>
        <w:spacing w:after="0" w:lineRule="auto" w:line="240"/>
        <w:ind w:left="567"/>
        <w:jc w:val="both"/>
        <w:rPr>
          <w:color w:val="000000"/>
          <w:sz w:val="20"/>
          <w:szCs w:val="20"/>
        </w:rPr>
      </w:pPr>
    </w:p>
    <w:p>
      <w:pPr>
        <w:pStyle w:val="style0"/>
        <w:shd w:val="clear" w:color="auto" w:fill="ffffff"/>
        <w:spacing w:after="0" w:lineRule="auto" w:line="240"/>
        <w:ind w:left="567"/>
        <w:jc w:val="both"/>
        <w:rPr>
          <w:rFonts w:ascii="Arial" w:cs="Arial" w:hAnsi="Arial"/>
          <w:color w:val="000000"/>
        </w:rPr>
      </w:pPr>
      <w:r>
        <w:rPr>
          <w:rFonts w:ascii="Arial" w:cs="Arial" w:hAnsi="Arial"/>
          <w:color w:val="000000"/>
        </w:rPr>
        <w:t>3.</w:t>
      </w:r>
      <w:r>
        <w:rPr>
          <w:color w:val="000000"/>
          <w:sz w:val="20"/>
          <w:szCs w:val="20"/>
        </w:rPr>
        <w:t> </w:t>
      </w:r>
      <w:r>
        <w:rPr>
          <w:rFonts w:ascii="Arial" w:cs="Arial" w:hAnsi="Arial"/>
          <w:color w:val="000000"/>
        </w:rPr>
        <w:t>Planear estratégicamente los asuntos propios relativos a sus competencias y la ejecución de los recursos de los Fondos de Desarrollo Local, en el marco de los Planes de Desarrollo Local y de los lineamientos y prioridades del Distrito Capital relativos a su localidad.</w:t>
      </w:r>
    </w:p>
    <w:p>
      <w:pPr>
        <w:pStyle w:val="style0"/>
        <w:shd w:val="clear" w:color="auto" w:fill="ffffff"/>
        <w:spacing w:after="0" w:lineRule="auto" w:line="240"/>
        <w:ind w:left="567"/>
        <w:jc w:val="both"/>
        <w:rPr>
          <w:color w:val="000000"/>
          <w:sz w:val="20"/>
          <w:szCs w:val="20"/>
        </w:rPr>
      </w:pPr>
    </w:p>
    <w:p>
      <w:pPr>
        <w:pStyle w:val="style0"/>
        <w:shd w:val="clear" w:color="auto" w:fill="ffffff"/>
        <w:spacing w:after="0" w:lineRule="auto" w:line="240"/>
        <w:ind w:left="567"/>
        <w:jc w:val="both"/>
        <w:rPr>
          <w:rFonts w:ascii="Arial" w:cs="Arial" w:hAnsi="Arial"/>
          <w:color w:val="000000"/>
        </w:rPr>
      </w:pPr>
      <w:r>
        <w:rPr>
          <w:rFonts w:ascii="Arial" w:cs="Arial" w:hAnsi="Arial"/>
          <w:color w:val="000000"/>
        </w:rPr>
        <w:t>4.</w:t>
      </w:r>
      <w:r>
        <w:rPr>
          <w:color w:val="000000"/>
          <w:sz w:val="20"/>
          <w:szCs w:val="20"/>
        </w:rPr>
        <w:t> </w:t>
      </w:r>
      <w:r>
        <w:rPr>
          <w:rFonts w:ascii="Arial" w:cs="Arial" w:hAnsi="Arial"/>
          <w:color w:val="000000"/>
        </w:rPr>
        <w:t>Contribuir a las metas del Plan Distrital de Desarrollo, en el marco de las competencias de las autoridades locales.</w:t>
      </w:r>
    </w:p>
    <w:p>
      <w:pPr>
        <w:pStyle w:val="style0"/>
        <w:shd w:val="clear" w:color="auto" w:fill="ffffff"/>
        <w:spacing w:after="0" w:lineRule="auto" w:line="240"/>
        <w:ind w:left="567"/>
        <w:jc w:val="both"/>
        <w:rPr>
          <w:rFonts w:ascii="Arial" w:cs="Arial" w:hAnsi="Arial"/>
          <w:color w:val="000000"/>
        </w:rPr>
      </w:pPr>
    </w:p>
    <w:p>
      <w:pPr>
        <w:pStyle w:val="style0"/>
        <w:shd w:val="clear" w:color="auto" w:fill="ffffff"/>
        <w:spacing w:after="0" w:lineRule="auto" w:line="240"/>
        <w:ind w:left="567"/>
        <w:jc w:val="both"/>
        <w:rPr>
          <w:rFonts w:ascii="Arial" w:cs="Arial" w:hAnsi="Arial"/>
          <w:color w:val="000000"/>
        </w:rPr>
      </w:pPr>
      <w:r>
        <w:rPr>
          <w:rFonts w:ascii="Arial" w:cs="Arial" w:hAnsi="Arial"/>
          <w:color w:val="000000"/>
        </w:rPr>
        <w:t>5.</w:t>
      </w:r>
      <w:r>
        <w:rPr>
          <w:color w:val="000000"/>
          <w:sz w:val="20"/>
          <w:szCs w:val="20"/>
        </w:rPr>
        <w:t> </w:t>
      </w:r>
      <w:r>
        <w:rPr>
          <w:rFonts w:ascii="Arial" w:cs="Arial" w:hAnsi="Arial"/>
          <w:color w:val="000000"/>
        </w:rPr>
        <w:t>Desarrollar labores de inspección y vigilancia en materia de función policiva y de facilitador y coordinador en la gestión administrativa e institucional que permita al Inspector de Policía y al Corregidor desarrollar su responsabilidad de las labores de control en la respectiva Localidad.</w:t>
      </w:r>
    </w:p>
    <w:p>
      <w:pPr>
        <w:pStyle w:val="style0"/>
        <w:shd w:val="clear" w:color="auto" w:fill="ffffff"/>
        <w:spacing w:after="0" w:lineRule="auto" w:line="240"/>
        <w:ind w:left="567"/>
        <w:jc w:val="both"/>
        <w:rPr>
          <w:color w:val="000000"/>
          <w:sz w:val="20"/>
          <w:szCs w:val="20"/>
        </w:rPr>
      </w:pPr>
      <w:r>
        <w:rPr>
          <w:rFonts w:ascii="Arial" w:cs="Arial" w:hAnsi="Arial"/>
          <w:color w:val="000000"/>
        </w:rPr>
        <w:t> </w:t>
      </w:r>
    </w:p>
    <w:p>
      <w:pPr>
        <w:pStyle w:val="style0"/>
        <w:shd w:val="clear" w:color="auto" w:fill="ffffff"/>
        <w:spacing w:after="0" w:lineRule="auto" w:line="240"/>
        <w:ind w:left="567"/>
        <w:jc w:val="both"/>
        <w:rPr>
          <w:rFonts w:ascii="Arial" w:cs="Arial" w:hAnsi="Arial"/>
          <w:b/>
          <w:bCs/>
          <w:color w:val="000000"/>
          <w:lang w:val="es-ES"/>
        </w:rPr>
      </w:pPr>
      <w:r>
        <w:rPr>
          <w:rFonts w:ascii="Arial" w:cs="Arial" w:hAnsi="Arial"/>
          <w:b/>
          <w:bCs/>
          <w:color w:val="000000"/>
          <w:lang w:val="es-ES"/>
        </w:rPr>
        <w:t>B.</w:t>
      </w:r>
      <w:r>
        <w:rPr>
          <w:color w:val="000000"/>
          <w:sz w:val="20"/>
          <w:szCs w:val="20"/>
        </w:rPr>
        <w:t> </w:t>
      </w:r>
      <w:r>
        <w:rPr>
          <w:rFonts w:ascii="Arial" w:cs="Arial" w:hAnsi="Arial"/>
          <w:b/>
          <w:bCs/>
          <w:color w:val="000000"/>
          <w:lang w:val="es-ES"/>
        </w:rPr>
        <w:t>Administrativa.</w:t>
      </w:r>
    </w:p>
    <w:p>
      <w:pPr>
        <w:pStyle w:val="style0"/>
        <w:shd w:val="clear" w:color="auto" w:fill="ffffff"/>
        <w:spacing w:after="0" w:lineRule="auto" w:line="240"/>
        <w:ind w:left="567"/>
        <w:jc w:val="both"/>
        <w:rPr>
          <w:color w:val="000000"/>
          <w:sz w:val="20"/>
          <w:szCs w:val="20"/>
        </w:rPr>
      </w:pPr>
    </w:p>
    <w:p>
      <w:pPr>
        <w:pStyle w:val="style0"/>
        <w:shd w:val="clear" w:color="auto" w:fill="ffffff"/>
        <w:spacing w:after="0" w:lineRule="auto" w:line="240"/>
        <w:ind w:left="567"/>
        <w:jc w:val="both"/>
        <w:rPr>
          <w:color w:val="000000"/>
          <w:sz w:val="20"/>
          <w:szCs w:val="20"/>
        </w:rPr>
      </w:pPr>
      <w:r>
        <w:rPr>
          <w:rFonts w:ascii="Arial" w:cs="Arial" w:hAnsi="Arial"/>
          <w:color w:val="000000"/>
          <w:lang w:val="es-ES"/>
        </w:rPr>
        <w:t>1.</w:t>
      </w:r>
      <w:r>
        <w:rPr>
          <w:color w:val="000000"/>
          <w:sz w:val="20"/>
          <w:szCs w:val="20"/>
        </w:rPr>
        <w:t> </w:t>
      </w:r>
      <w:r>
        <w:rPr>
          <w:rFonts w:ascii="Arial" w:cs="Arial" w:hAnsi="Arial"/>
          <w:color w:val="000000"/>
        </w:rPr>
        <w:t>Desarrollar los procesos de gestión pública requeridos para el cumplimiento de sus funciones misionales y de las funciones de los Alcaldes Locales conforme con las normas vigentes.</w:t>
      </w:r>
    </w:p>
    <w:p>
      <w:pPr>
        <w:pStyle w:val="style0"/>
        <w:shd w:val="clear" w:color="auto" w:fill="ffffff"/>
        <w:spacing w:after="0" w:lineRule="auto" w:line="240"/>
        <w:ind w:left="567"/>
        <w:jc w:val="both"/>
        <w:rPr>
          <w:color w:val="000000"/>
          <w:sz w:val="20"/>
          <w:szCs w:val="20"/>
        </w:rPr>
      </w:pPr>
      <w:r>
        <w:rPr>
          <w:rFonts w:ascii="Arial" w:cs="Arial" w:hAnsi="Arial"/>
          <w:b/>
          <w:bCs/>
          <w:color w:val="000000"/>
        </w:rPr>
        <w:t> </w:t>
      </w:r>
    </w:p>
    <w:p>
      <w:pPr>
        <w:pStyle w:val="style0"/>
        <w:shd w:val="clear" w:color="auto" w:fill="ffffff"/>
        <w:spacing w:after="0" w:lineRule="auto" w:line="240"/>
        <w:ind w:left="567"/>
        <w:jc w:val="both"/>
        <w:rPr>
          <w:rFonts w:ascii="Arial" w:cs="Arial" w:hAnsi="Arial"/>
          <w:b/>
          <w:bCs/>
          <w:color w:val="000000"/>
        </w:rPr>
      </w:pPr>
      <w:r>
        <w:rPr>
          <w:rFonts w:ascii="Arial" w:cs="Arial" w:hAnsi="Arial"/>
          <w:b/>
          <w:bCs/>
          <w:color w:val="000000"/>
        </w:rPr>
        <w:t>C.</w:t>
      </w:r>
      <w:r>
        <w:rPr>
          <w:color w:val="000000"/>
          <w:sz w:val="20"/>
          <w:szCs w:val="20"/>
        </w:rPr>
        <w:t> </w:t>
      </w:r>
      <w:r>
        <w:rPr>
          <w:rFonts w:ascii="Arial" w:cs="Arial" w:hAnsi="Arial"/>
          <w:b/>
          <w:bCs/>
          <w:color w:val="000000"/>
        </w:rPr>
        <w:t>De coordinación entre niveles.</w:t>
      </w:r>
    </w:p>
    <w:p>
      <w:pPr>
        <w:pStyle w:val="style0"/>
        <w:shd w:val="clear" w:color="auto" w:fill="ffffff"/>
        <w:spacing w:after="0" w:lineRule="auto" w:line="240"/>
        <w:ind w:left="567"/>
        <w:jc w:val="both"/>
        <w:rPr>
          <w:color w:val="000000"/>
          <w:sz w:val="20"/>
          <w:szCs w:val="20"/>
        </w:rPr>
      </w:pPr>
    </w:p>
    <w:p>
      <w:pPr>
        <w:pStyle w:val="style0"/>
        <w:shd w:val="clear" w:color="auto" w:fill="ffffff"/>
        <w:spacing w:after="0" w:lineRule="auto" w:line="240"/>
        <w:ind w:left="567"/>
        <w:jc w:val="both"/>
        <w:rPr>
          <w:rFonts w:ascii="Arial" w:cs="Arial" w:hAnsi="Arial"/>
          <w:color w:val="000000"/>
        </w:rPr>
      </w:pPr>
      <w:r>
        <w:rPr>
          <w:rFonts w:ascii="Arial" w:cs="Arial" w:hAnsi="Arial"/>
          <w:color w:val="000000"/>
        </w:rPr>
        <w:t>1.</w:t>
      </w:r>
      <w:r>
        <w:rPr>
          <w:color w:val="000000"/>
          <w:sz w:val="20"/>
          <w:szCs w:val="20"/>
        </w:rPr>
        <w:t> </w:t>
      </w:r>
      <w:r>
        <w:rPr>
          <w:rFonts w:ascii="Arial" w:cs="Arial" w:hAnsi="Arial"/>
          <w:color w:val="000000"/>
        </w:rPr>
        <w:t>Adelantar los procesos de apoyo a los Alcaldes Locales en la atribución de coordinar la acción administrativa del Distrito Capital en la localidad, de acuerdo con lo previsto en el Decreto Ley </w:t>
      </w:r>
      <w:r>
        <w:rPr/>
        <w:fldChar w:fldCharType="begin"/>
      </w:r>
      <w:r>
        <w:instrText xml:space="preserve"> HYPERLINK "https://www.alcaldiabogota.gov.co/sisjur/normas/Norma1.jsp?i=9027" \l "0" </w:instrText>
      </w:r>
      <w:r>
        <w:rPr/>
        <w:fldChar w:fldCharType="separate"/>
      </w:r>
      <w:r>
        <w:rPr>
          <w:rStyle w:val="style85"/>
          <w:rFonts w:ascii="Arial" w:cs="Arial" w:hAnsi="Arial"/>
          <w:color w:val="000000"/>
        </w:rPr>
        <w:t>1421</w:t>
      </w:r>
      <w:r>
        <w:rPr/>
        <w:fldChar w:fldCharType="end"/>
      </w:r>
      <w:r>
        <w:rPr>
          <w:rFonts w:ascii="Arial" w:cs="Arial" w:hAnsi="Arial"/>
          <w:color w:val="000000"/>
        </w:rPr>
        <w:t> de 1993 y el presente Acuerdo.</w:t>
      </w:r>
    </w:p>
    <w:p>
      <w:pPr>
        <w:pStyle w:val="style0"/>
        <w:shd w:val="clear" w:color="auto" w:fill="ffffff"/>
        <w:spacing w:after="0" w:lineRule="auto" w:line="240"/>
        <w:ind w:left="567"/>
        <w:jc w:val="both"/>
        <w:rPr>
          <w:color w:val="000000"/>
          <w:sz w:val="20"/>
          <w:szCs w:val="20"/>
        </w:rPr>
      </w:pPr>
    </w:p>
    <w:p>
      <w:pPr>
        <w:pStyle w:val="style0"/>
        <w:shd w:val="clear" w:color="auto" w:fill="ffffff"/>
        <w:spacing w:after="0" w:lineRule="auto" w:line="240"/>
        <w:ind w:left="567"/>
        <w:jc w:val="both"/>
        <w:rPr>
          <w:rFonts w:ascii="Arial" w:cs="Arial" w:hAnsi="Arial"/>
          <w:color w:val="000000"/>
        </w:rPr>
      </w:pPr>
      <w:r>
        <w:rPr>
          <w:rFonts w:ascii="Arial" w:cs="Arial" w:hAnsi="Arial"/>
          <w:color w:val="000000"/>
        </w:rPr>
        <w:t>2.</w:t>
      </w:r>
      <w:r>
        <w:rPr>
          <w:color w:val="000000"/>
          <w:sz w:val="20"/>
          <w:szCs w:val="20"/>
        </w:rPr>
        <w:t> </w:t>
      </w:r>
      <w:r>
        <w:rPr>
          <w:rFonts w:ascii="Arial" w:cs="Arial" w:hAnsi="Arial"/>
          <w:color w:val="000000"/>
        </w:rPr>
        <w:t>Asegurar la articulación de la gestión local y distrital a través de la armonización de los Planes de Desarrollo Local con el Plan Distrital de Desarrollo y el Plan de Ordenamiento Territorial del Distrito Capital y las políticas públicas distritales.”</w:t>
      </w:r>
    </w:p>
    <w:p>
      <w:pPr>
        <w:pStyle w:val="style0"/>
        <w:shd w:val="clear" w:color="auto" w:fill="ffffff"/>
        <w:spacing w:after="0" w:lineRule="auto" w:line="240"/>
        <w:ind w:left="567"/>
        <w:jc w:val="both"/>
        <w:rPr>
          <w:rFonts w:ascii="Arial" w:cs="Arial" w:hAnsi="Arial"/>
          <w:color w:val="000000"/>
        </w:rPr>
      </w:pPr>
    </w:p>
    <w:p>
      <w:pPr>
        <w:pStyle w:val="style0"/>
        <w:shd w:val="clear" w:color="auto" w:fill="ffffff"/>
        <w:spacing w:after="0" w:lineRule="auto" w:line="240"/>
        <w:jc w:val="both"/>
        <w:rPr>
          <w:rFonts w:ascii="Arial" w:cs="Arial" w:hAnsi="Arial"/>
          <w:b/>
          <w:lang w:val="es-MX"/>
        </w:rPr>
      </w:pPr>
    </w:p>
    <w:p>
      <w:pPr>
        <w:pStyle w:val="style0"/>
        <w:shd w:val="clear" w:color="auto" w:fill="ffffff"/>
        <w:spacing w:after="0" w:lineRule="auto" w:line="240"/>
        <w:jc w:val="both"/>
        <w:rPr>
          <w:rFonts w:ascii="Arial" w:cs="Arial" w:hAnsi="Arial"/>
          <w:bCs/>
          <w:lang w:val="es-MX"/>
        </w:rPr>
      </w:pPr>
      <w:r>
        <w:rPr>
          <w:rFonts w:ascii="Arial" w:cs="Arial" w:hAnsi="Arial"/>
          <w:bCs/>
          <w:lang w:val="es-MX"/>
        </w:rPr>
        <w:t>SITUACIÓN ACTUAL CAPACIDAD INSTITUCIONAL LOCAL</w:t>
      </w:r>
    </w:p>
    <w:p>
      <w:pPr>
        <w:pStyle w:val="style0"/>
        <w:shd w:val="clear" w:color="auto" w:fill="ffffff"/>
        <w:spacing w:after="0" w:lineRule="auto" w:line="240"/>
        <w:jc w:val="both"/>
        <w:rPr>
          <w:rFonts w:ascii="Arial" w:cs="Arial" w:hAnsi="Arial"/>
          <w:lang w:val="es-MX"/>
        </w:rPr>
      </w:pPr>
    </w:p>
    <w:p>
      <w:pPr>
        <w:pStyle w:val="style179"/>
        <w:numPr>
          <w:ilvl w:val="0"/>
          <w:numId w:val="1"/>
        </w:numPr>
        <w:shd w:val="clear" w:color="auto" w:fill="ffffff"/>
        <w:spacing w:after="0" w:lineRule="auto" w:line="240"/>
        <w:jc w:val="both"/>
        <w:rPr>
          <w:rFonts w:ascii="Arial" w:cs="Arial" w:hAnsi="Arial"/>
          <w:lang w:val="es-MX"/>
        </w:rPr>
      </w:pPr>
      <w:r>
        <w:rPr>
          <w:rFonts w:ascii="Arial" w:cs="Arial" w:hAnsi="Arial"/>
          <w:lang w:val="es-MX"/>
        </w:rPr>
        <w:t>Prestación de servicios profesionales y apoyo a la gestión:</w:t>
      </w:r>
    </w:p>
    <w:p>
      <w:pPr>
        <w:pStyle w:val="style0"/>
        <w:shd w:val="clear" w:color="auto" w:fill="ffffff"/>
        <w:spacing w:after="0" w:lineRule="auto" w:line="240"/>
        <w:jc w:val="both"/>
        <w:rPr>
          <w:rFonts w:ascii="Arial" w:cs="Arial" w:hAnsi="Arial"/>
          <w:lang w:val="es-MX"/>
        </w:rPr>
      </w:pPr>
    </w:p>
    <w:p>
      <w:pPr>
        <w:pStyle w:val="style0"/>
        <w:shd w:val="clear" w:color="auto" w:fill="ffffff"/>
        <w:spacing w:after="0" w:lineRule="auto" w:line="240"/>
        <w:jc w:val="both"/>
        <w:rPr>
          <w:rFonts w:ascii="Arial" w:cs="Arial" w:hAnsi="Arial"/>
          <w:lang w:val="es-MX"/>
        </w:rPr>
      </w:pPr>
      <w:r>
        <w:rPr>
          <w:rFonts w:ascii="Arial" w:cs="Arial" w:hAnsi="Arial"/>
          <w:lang w:val="es-MX"/>
        </w:rPr>
        <w:t>Para el cumplimiento de sus funciones, la Alcaldía Local de La Candelaria requiere de manera permanente, fortalecer su capacidad institucional para la entrega oportuna de bienes y servicios</w:t>
      </w:r>
      <w:r>
        <w:rPr>
          <w:rFonts w:ascii="Arial" w:cs="Arial" w:hAnsi="Arial"/>
          <w:lang w:val="es-MX"/>
        </w:rPr>
        <w:t>, labor que</w:t>
      </w:r>
      <w:r>
        <w:rPr>
          <w:rFonts w:ascii="Arial" w:cs="Arial" w:hAnsi="Arial"/>
          <w:lang w:val="es-MX"/>
        </w:rPr>
        <w:t xml:space="preserve">  realiza principalmente a través de la contratación de personal para la prestación de servicios profesionales y de apoyo a la gestión, desde las diferentes áreas funcionales que hacen parte de la estructura interna de la Alcaldía Local.</w:t>
      </w:r>
    </w:p>
    <w:p>
      <w:pPr>
        <w:pStyle w:val="style0"/>
        <w:shd w:val="clear" w:color="auto" w:fill="ffffff"/>
        <w:spacing w:after="0" w:lineRule="auto" w:line="240"/>
        <w:jc w:val="both"/>
        <w:rPr>
          <w:rFonts w:ascii="Arial" w:cs="Arial" w:hAnsi="Arial"/>
          <w:lang w:val="es-MX"/>
        </w:rPr>
      </w:pPr>
    </w:p>
    <w:p>
      <w:pPr>
        <w:pStyle w:val="style0"/>
        <w:shd w:val="clear" w:color="auto" w:fill="ffffff"/>
        <w:spacing w:after="0" w:lineRule="auto" w:line="240"/>
        <w:jc w:val="both"/>
        <w:rPr>
          <w:rFonts w:ascii="Arial" w:cs="Arial" w:hAnsi="Arial"/>
          <w:lang w:val="es-MX"/>
        </w:rPr>
      </w:pPr>
      <w:r>
        <w:rPr>
          <w:rFonts w:ascii="Arial" w:cs="Arial" w:hAnsi="Arial"/>
          <w:lang w:val="es-MX"/>
        </w:rPr>
        <w:t xml:space="preserve">El siguiente ha sido el Presupuesto asignado mediante los </w:t>
      </w:r>
      <w:r>
        <w:rPr>
          <w:rFonts w:ascii="Arial" w:cs="Arial" w:hAnsi="Arial"/>
          <w:lang w:val="es-MX"/>
        </w:rPr>
        <w:t>d</w:t>
      </w:r>
      <w:r>
        <w:rPr>
          <w:rFonts w:ascii="Arial" w:cs="Arial" w:hAnsi="Arial"/>
          <w:lang w:val="es-MX"/>
        </w:rPr>
        <w:t>ecretos de liquidación con el cual ha contado el Fondo de Desarrollo Local de La Candelaria en las últimas cuatro vigencias para este rubro:</w:t>
      </w:r>
    </w:p>
    <w:p>
      <w:pPr>
        <w:pStyle w:val="style0"/>
        <w:shd w:val="clear" w:color="auto" w:fill="ffffff"/>
        <w:spacing w:after="0" w:lineRule="auto" w:line="240"/>
        <w:jc w:val="both"/>
        <w:rPr>
          <w:rFonts w:ascii="Arial" w:cs="Arial" w:hAnsi="Arial"/>
          <w:lang w:val="es-MX"/>
        </w:rPr>
      </w:pPr>
    </w:p>
    <w:tbl>
      <w:tblPr>
        <w:tblW w:w="8857" w:type="dxa"/>
        <w:tblInd w:w="55" w:type="dxa"/>
        <w:tblCellMar>
          <w:left w:w="70" w:type="dxa"/>
          <w:right w:w="70" w:type="dxa"/>
        </w:tblCellMar>
        <w:tblLook w:val="04A0" w:firstRow="1" w:lastRow="0" w:firstColumn="1" w:lastColumn="0" w:noHBand="0" w:noVBand="1"/>
      </w:tblPr>
      <w:tblGrid>
        <w:gridCol w:w="2014"/>
        <w:gridCol w:w="1710"/>
        <w:gridCol w:w="1710"/>
        <w:gridCol w:w="1710"/>
        <w:gridCol w:w="1710"/>
      </w:tblGrid>
      <w:tr>
        <w:trPr>
          <w:trHeight w:val="235" w:hRule="atLeast"/>
        </w:trPr>
        <w:tc>
          <w:tcPr>
            <w:tcW w:w="2014"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pPr>
              <w:pStyle w:val="style0"/>
              <w:spacing w:after="0" w:lineRule="auto" w:line="240"/>
              <w:jc w:val="center"/>
              <w:rPr>
                <w:rFonts w:ascii="Arial" w:cs="Arial" w:eastAsia="Times New Roman" w:hAnsi="Arial"/>
                <w:b/>
                <w:color w:val="000000"/>
                <w:sz w:val="20"/>
                <w:szCs w:val="20"/>
                <w:lang w:eastAsia="es-CO"/>
              </w:rPr>
            </w:pPr>
            <w:r>
              <w:rPr>
                <w:rFonts w:ascii="Arial" w:cs="Arial" w:eastAsia="Times New Roman" w:hAnsi="Arial"/>
                <w:b/>
                <w:color w:val="000000"/>
                <w:sz w:val="20"/>
                <w:szCs w:val="20"/>
                <w:lang w:eastAsia="es-CO"/>
              </w:rPr>
              <w:t>CONCEPTO</w:t>
            </w:r>
          </w:p>
        </w:tc>
        <w:tc>
          <w:tcPr>
            <w:tcW w:w="6843" w:type="dxa"/>
            <w:gridSpan w:val="4"/>
            <w:tcBorders>
              <w:top w:val="single" w:sz="4" w:space="0" w:color="auto"/>
              <w:left w:val="nil"/>
              <w:bottom w:val="single" w:sz="4" w:space="0" w:color="auto"/>
              <w:right w:val="single" w:sz="4" w:space="0" w:color="auto"/>
            </w:tcBorders>
            <w:shd w:val="clear" w:color="000000" w:fill="bfbfbf"/>
            <w:noWrap/>
            <w:vAlign w:val="bottom"/>
            <w:hideMark/>
          </w:tcPr>
          <w:p>
            <w:pPr>
              <w:pStyle w:val="style0"/>
              <w:spacing w:after="0" w:lineRule="auto" w:line="240"/>
              <w:jc w:val="center"/>
              <w:rPr>
                <w:rFonts w:ascii="Arial" w:cs="Arial" w:eastAsia="Times New Roman" w:hAnsi="Arial"/>
                <w:b/>
                <w:color w:val="000000"/>
                <w:sz w:val="20"/>
                <w:szCs w:val="20"/>
                <w:lang w:eastAsia="es-CO"/>
              </w:rPr>
            </w:pPr>
            <w:r>
              <w:rPr>
                <w:rFonts w:ascii="Arial" w:cs="Arial" w:eastAsia="Times New Roman" w:hAnsi="Arial"/>
                <w:b/>
                <w:color w:val="000000"/>
                <w:sz w:val="20"/>
                <w:szCs w:val="20"/>
                <w:lang w:eastAsia="es-CO"/>
              </w:rPr>
              <w:t>VIGENCIA</w:t>
            </w:r>
          </w:p>
        </w:tc>
      </w:tr>
      <w:tr>
        <w:tblPrEx/>
        <w:trPr>
          <w:trHeight w:val="235" w:hRule="atLeast"/>
        </w:trPr>
        <w:tc>
          <w:tcPr>
            <w:tcW w:w="2014" w:type="dxa"/>
            <w:vMerge w:val="continue"/>
            <w:tcBorders>
              <w:top w:val="single" w:sz="4" w:space="0" w:color="auto"/>
              <w:left w:val="single" w:sz="4" w:space="0" w:color="auto"/>
              <w:bottom w:val="single" w:sz="4" w:space="0" w:color="auto"/>
              <w:right w:val="single" w:sz="4" w:space="0" w:color="auto"/>
            </w:tcBorders>
            <w:vAlign w:val="center"/>
            <w:hideMark/>
          </w:tcPr>
          <w:p>
            <w:pPr>
              <w:pStyle w:val="style0"/>
              <w:spacing w:after="0" w:lineRule="auto" w:line="240"/>
              <w:rPr>
                <w:rFonts w:ascii="Arial" w:cs="Arial" w:eastAsia="Times New Roman" w:hAnsi="Arial"/>
                <w:b/>
                <w:color w:val="000000"/>
                <w:sz w:val="20"/>
                <w:szCs w:val="20"/>
                <w:lang w:eastAsia="es-CO"/>
              </w:rPr>
            </w:pPr>
          </w:p>
        </w:tc>
        <w:tc>
          <w:tcPr>
            <w:tcW w:w="1710" w:type="dxa"/>
            <w:tcBorders>
              <w:top w:val="nil"/>
              <w:left w:val="nil"/>
              <w:bottom w:val="single" w:sz="4" w:space="0" w:color="auto"/>
              <w:right w:val="single" w:sz="4" w:space="0" w:color="auto"/>
            </w:tcBorders>
            <w:shd w:val="clear" w:color="000000" w:fill="bfbfbf"/>
            <w:noWrap/>
            <w:vAlign w:val="bottom"/>
            <w:hideMark/>
          </w:tcPr>
          <w:p>
            <w:pPr>
              <w:pStyle w:val="style0"/>
              <w:spacing w:after="0" w:lineRule="auto" w:line="240"/>
              <w:jc w:val="center"/>
              <w:rPr>
                <w:rFonts w:ascii="Arial" w:cs="Arial" w:eastAsia="Times New Roman" w:hAnsi="Arial"/>
                <w:b/>
                <w:color w:val="000000"/>
                <w:sz w:val="20"/>
                <w:szCs w:val="20"/>
                <w:lang w:eastAsia="es-CO"/>
              </w:rPr>
            </w:pPr>
            <w:r>
              <w:rPr>
                <w:rFonts w:ascii="Arial" w:cs="Arial" w:eastAsia="Times New Roman" w:hAnsi="Arial"/>
                <w:b/>
                <w:color w:val="000000"/>
                <w:sz w:val="20"/>
                <w:szCs w:val="20"/>
                <w:lang w:eastAsia="es-CO"/>
              </w:rPr>
              <w:t>2017</w:t>
            </w:r>
          </w:p>
        </w:tc>
        <w:tc>
          <w:tcPr>
            <w:tcW w:w="1710" w:type="dxa"/>
            <w:tcBorders>
              <w:top w:val="nil"/>
              <w:left w:val="nil"/>
              <w:bottom w:val="single" w:sz="4" w:space="0" w:color="auto"/>
              <w:right w:val="single" w:sz="4" w:space="0" w:color="auto"/>
            </w:tcBorders>
            <w:shd w:val="clear" w:color="000000" w:fill="bfbfbf"/>
            <w:noWrap/>
            <w:vAlign w:val="bottom"/>
            <w:hideMark/>
          </w:tcPr>
          <w:p>
            <w:pPr>
              <w:pStyle w:val="style0"/>
              <w:spacing w:after="0" w:lineRule="auto" w:line="240"/>
              <w:jc w:val="center"/>
              <w:rPr>
                <w:rFonts w:ascii="Arial" w:cs="Arial" w:eastAsia="Times New Roman" w:hAnsi="Arial"/>
                <w:b/>
                <w:color w:val="000000"/>
                <w:sz w:val="20"/>
                <w:szCs w:val="20"/>
                <w:lang w:eastAsia="es-CO"/>
              </w:rPr>
            </w:pPr>
            <w:r>
              <w:rPr>
                <w:rFonts w:ascii="Arial" w:cs="Arial" w:eastAsia="Times New Roman" w:hAnsi="Arial"/>
                <w:b/>
                <w:color w:val="000000"/>
                <w:sz w:val="20"/>
                <w:szCs w:val="20"/>
                <w:lang w:eastAsia="es-CO"/>
              </w:rPr>
              <w:t>2018</w:t>
            </w:r>
          </w:p>
        </w:tc>
        <w:tc>
          <w:tcPr>
            <w:tcW w:w="1710" w:type="dxa"/>
            <w:tcBorders>
              <w:top w:val="nil"/>
              <w:left w:val="nil"/>
              <w:bottom w:val="single" w:sz="4" w:space="0" w:color="auto"/>
              <w:right w:val="single" w:sz="4" w:space="0" w:color="auto"/>
            </w:tcBorders>
            <w:shd w:val="clear" w:color="000000" w:fill="bfbfbf"/>
            <w:noWrap/>
            <w:vAlign w:val="bottom"/>
            <w:hideMark/>
          </w:tcPr>
          <w:p>
            <w:pPr>
              <w:pStyle w:val="style0"/>
              <w:spacing w:after="0" w:lineRule="auto" w:line="240"/>
              <w:jc w:val="center"/>
              <w:rPr>
                <w:rFonts w:ascii="Arial" w:cs="Arial" w:eastAsia="Times New Roman" w:hAnsi="Arial"/>
                <w:b/>
                <w:color w:val="000000"/>
                <w:sz w:val="20"/>
                <w:szCs w:val="20"/>
                <w:lang w:eastAsia="es-CO"/>
              </w:rPr>
            </w:pPr>
            <w:r>
              <w:rPr>
                <w:rFonts w:ascii="Arial" w:cs="Arial" w:eastAsia="Times New Roman" w:hAnsi="Arial"/>
                <w:b/>
                <w:color w:val="000000"/>
                <w:sz w:val="20"/>
                <w:szCs w:val="20"/>
                <w:lang w:eastAsia="es-CO"/>
              </w:rPr>
              <w:t>2019</w:t>
            </w:r>
          </w:p>
        </w:tc>
        <w:tc>
          <w:tcPr>
            <w:tcW w:w="1710" w:type="dxa"/>
            <w:tcBorders>
              <w:top w:val="nil"/>
              <w:left w:val="nil"/>
              <w:bottom w:val="single" w:sz="4" w:space="0" w:color="auto"/>
              <w:right w:val="single" w:sz="4" w:space="0" w:color="auto"/>
            </w:tcBorders>
            <w:shd w:val="clear" w:color="000000" w:fill="bfbfbf"/>
            <w:noWrap/>
            <w:vAlign w:val="bottom"/>
            <w:hideMark/>
          </w:tcPr>
          <w:p>
            <w:pPr>
              <w:pStyle w:val="style0"/>
              <w:spacing w:after="0" w:lineRule="auto" w:line="240"/>
              <w:jc w:val="center"/>
              <w:rPr>
                <w:rFonts w:ascii="Arial" w:cs="Arial" w:eastAsia="Times New Roman" w:hAnsi="Arial"/>
                <w:b/>
                <w:color w:val="000000"/>
                <w:sz w:val="20"/>
                <w:szCs w:val="20"/>
                <w:lang w:eastAsia="es-CO"/>
              </w:rPr>
            </w:pPr>
            <w:r>
              <w:rPr>
                <w:rFonts w:ascii="Arial" w:cs="Arial" w:eastAsia="Times New Roman" w:hAnsi="Arial"/>
                <w:b/>
                <w:color w:val="000000"/>
                <w:sz w:val="20"/>
                <w:szCs w:val="20"/>
                <w:lang w:eastAsia="es-CO"/>
              </w:rPr>
              <w:t>2020</w:t>
            </w:r>
          </w:p>
        </w:tc>
      </w:tr>
      <w:tr>
        <w:tblPrEx/>
        <w:trPr>
          <w:trHeight w:val="421" w:hRule="atLeast"/>
        </w:trPr>
        <w:tc>
          <w:tcPr>
            <w:tcW w:w="2014" w:type="dxa"/>
            <w:tcBorders>
              <w:top w:val="nil"/>
              <w:left w:val="single" w:sz="4" w:space="0" w:color="auto"/>
              <w:bottom w:val="single" w:sz="4" w:space="0" w:color="auto"/>
              <w:right w:val="single" w:sz="4" w:space="0" w:color="auto"/>
            </w:tcBorders>
            <w:shd w:val="clear" w:color="auto" w:fill="auto"/>
            <w:vAlign w:val="bottom"/>
            <w:hideMark/>
          </w:tcPr>
          <w:p>
            <w:pPr>
              <w:pStyle w:val="style0"/>
              <w:spacing w:after="0" w:lineRule="auto" w:line="240"/>
              <w:rPr>
                <w:rFonts w:ascii="Arial" w:cs="Arial" w:eastAsia="Times New Roman" w:hAnsi="Arial"/>
                <w:color w:val="000000"/>
                <w:sz w:val="20"/>
                <w:szCs w:val="20"/>
                <w:lang w:eastAsia="es-CO"/>
              </w:rPr>
            </w:pPr>
            <w:r>
              <w:rPr>
                <w:rFonts w:ascii="Arial" w:cs="Arial" w:eastAsia="Times New Roman" w:hAnsi="Arial"/>
                <w:color w:val="000000"/>
                <w:sz w:val="20"/>
                <w:szCs w:val="20"/>
                <w:lang w:eastAsia="es-CO"/>
              </w:rPr>
              <w:t>GOBIERNO LOCAL LEGITIMO</w:t>
            </w:r>
          </w:p>
        </w:tc>
        <w:tc>
          <w:tcPr>
            <w:tcW w:w="1710"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20"/>
                <w:szCs w:val="20"/>
                <w:lang w:eastAsia="es-CO"/>
              </w:rPr>
            </w:pPr>
            <w:r>
              <w:rPr>
                <w:rFonts w:ascii="Arial" w:cs="Arial" w:eastAsia="Times New Roman" w:hAnsi="Arial"/>
                <w:color w:val="000000"/>
                <w:sz w:val="20"/>
                <w:szCs w:val="20"/>
                <w:lang w:eastAsia="es-CO"/>
              </w:rPr>
              <w:t>$ 2.468.096.000</w:t>
            </w:r>
          </w:p>
        </w:tc>
        <w:tc>
          <w:tcPr>
            <w:tcW w:w="1710"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20"/>
                <w:szCs w:val="20"/>
                <w:lang w:eastAsia="es-CO"/>
              </w:rPr>
            </w:pPr>
            <w:r>
              <w:rPr>
                <w:rFonts w:ascii="Arial" w:cs="Arial" w:eastAsia="Times New Roman" w:hAnsi="Arial"/>
                <w:color w:val="000000"/>
                <w:sz w:val="20"/>
                <w:szCs w:val="20"/>
                <w:lang w:eastAsia="es-CO"/>
              </w:rPr>
              <w:t>$ 3.330.333.000</w:t>
            </w:r>
          </w:p>
        </w:tc>
        <w:tc>
          <w:tcPr>
            <w:tcW w:w="1710"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20"/>
                <w:szCs w:val="20"/>
                <w:lang w:eastAsia="es-CO"/>
              </w:rPr>
            </w:pPr>
            <w:r>
              <w:rPr>
                <w:rFonts w:ascii="Arial" w:cs="Arial" w:eastAsia="Times New Roman" w:hAnsi="Arial"/>
                <w:color w:val="000000"/>
                <w:sz w:val="20"/>
                <w:szCs w:val="20"/>
                <w:lang w:eastAsia="es-CO"/>
              </w:rPr>
              <w:t>$ 2.744.000.000</w:t>
            </w:r>
          </w:p>
        </w:tc>
        <w:tc>
          <w:tcPr>
            <w:tcW w:w="1710"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right"/>
              <w:rPr>
                <w:rFonts w:ascii="Arial" w:cs="Arial" w:eastAsia="Times New Roman" w:hAnsi="Arial"/>
                <w:color w:val="000000"/>
                <w:sz w:val="20"/>
                <w:szCs w:val="20"/>
                <w:lang w:eastAsia="es-CO"/>
              </w:rPr>
            </w:pPr>
            <w:r>
              <w:rPr>
                <w:rFonts w:ascii="Arial" w:cs="Arial" w:eastAsia="Times New Roman" w:hAnsi="Arial"/>
                <w:color w:val="000000"/>
                <w:sz w:val="20"/>
                <w:szCs w:val="20"/>
                <w:lang w:eastAsia="es-CO"/>
              </w:rPr>
              <w:t>$ 2.773.000.000</w:t>
            </w:r>
          </w:p>
        </w:tc>
      </w:tr>
    </w:tbl>
    <w:p>
      <w:pPr>
        <w:pStyle w:val="style0"/>
        <w:shd w:val="clear" w:color="auto" w:fill="ffffff"/>
        <w:spacing w:after="0" w:lineRule="auto" w:line="240"/>
        <w:jc w:val="both"/>
        <w:rPr>
          <w:rFonts w:ascii="Arial" w:cs="Arial" w:hAnsi="Arial"/>
          <w:color w:val="000000"/>
          <w:sz w:val="16"/>
          <w:szCs w:val="16"/>
          <w:shd w:val="clear" w:color="auto" w:fill="ffffff"/>
        </w:rPr>
      </w:pPr>
      <w:r>
        <w:rPr>
          <w:rFonts w:ascii="Arial" w:cs="Arial" w:hAnsi="Arial"/>
          <w:color w:val="000000"/>
          <w:sz w:val="16"/>
          <w:szCs w:val="16"/>
          <w:shd w:val="clear" w:color="auto" w:fill="ffffff"/>
        </w:rPr>
        <w:t>Fuente: Decretos de Liquidación del Presupuesto Anual para el Fondo de Desarrollo Local de La Candelaria.</w:t>
      </w:r>
    </w:p>
    <w:p>
      <w:pPr>
        <w:pStyle w:val="style0"/>
        <w:shd w:val="clear" w:color="auto" w:fill="ffffff"/>
        <w:spacing w:after="0" w:lineRule="auto" w:line="240"/>
        <w:jc w:val="both"/>
        <w:rPr>
          <w:rFonts w:ascii="Arial" w:cs="Arial" w:hAnsi="Arial"/>
          <w:lang w:val="es-MX"/>
        </w:rPr>
      </w:pPr>
    </w:p>
    <w:p>
      <w:pPr>
        <w:pStyle w:val="style0"/>
        <w:shd w:val="clear" w:color="auto" w:fill="ffffff"/>
        <w:spacing w:after="0" w:lineRule="auto" w:line="240"/>
        <w:jc w:val="both"/>
        <w:rPr>
          <w:rFonts w:ascii="Arial" w:cs="Arial" w:hAnsi="Arial"/>
          <w:lang w:val="es-MX"/>
        </w:rPr>
      </w:pPr>
    </w:p>
    <w:p>
      <w:pPr>
        <w:pStyle w:val="style0"/>
        <w:shd w:val="clear" w:color="auto" w:fill="ffffff"/>
        <w:spacing w:after="0" w:lineRule="auto" w:line="240"/>
        <w:jc w:val="both"/>
        <w:rPr>
          <w:rFonts w:ascii="Arial" w:cs="Arial" w:hAnsi="Arial"/>
          <w:lang w:val="es-MX"/>
        </w:rPr>
      </w:pPr>
      <w:r>
        <w:rPr>
          <w:rFonts w:ascii="Arial" w:cs="Arial" w:hAnsi="Arial"/>
          <w:lang w:val="es-MX"/>
        </w:rPr>
        <w:t>En el siguiente esquema se presentan las áreas funcionales con las respectivas oficinas o equipos internos de trabajo, así como las necesidades recurrentes en materia de personal, identificándose tanto la cantidad de contratistas que prestan sus servicios, así como los funcionarios de planta que ejercen sus funciones para la operación de los procesos de la Alcaldía Local.</w:t>
      </w:r>
      <w:r>
        <w:rPr>
          <w:rFonts w:ascii="Arial" w:cs="Arial" w:hAnsi="Arial"/>
          <w:lang w:val="es-MX"/>
        </w:rPr>
        <w:t xml:space="preserve"> </w:t>
      </w:r>
    </w:p>
    <w:p>
      <w:pPr>
        <w:pStyle w:val="style0"/>
        <w:shd w:val="clear" w:color="auto" w:fill="ffffff"/>
        <w:spacing w:after="0" w:lineRule="auto" w:line="240"/>
        <w:jc w:val="both"/>
        <w:rPr>
          <w:rFonts w:ascii="Arial" w:cs="Arial" w:hAnsi="Arial"/>
          <w:lang w:val="es-MX"/>
        </w:rPr>
      </w:pPr>
    </w:p>
    <w:p>
      <w:pPr>
        <w:pStyle w:val="style0"/>
        <w:shd w:val="clear" w:color="auto" w:fill="ffffff"/>
        <w:spacing w:after="0" w:lineRule="auto" w:line="240"/>
        <w:jc w:val="both"/>
        <w:rPr>
          <w:rFonts w:ascii="Arial" w:cs="Arial" w:hAnsi="Arial"/>
          <w:lang w:val="es-MX"/>
        </w:rPr>
      </w:pPr>
      <w:r>
        <w:rPr>
          <w:rFonts w:ascii="Arial" w:cs="Arial" w:hAnsi="Arial"/>
          <w:noProof/>
          <w:lang w:eastAsia="es-CO"/>
        </w:rPr>
        <mc:AlternateContent>
          <mc:Choice Requires="wps">
            <w:drawing>
              <wp:anchor distT="0" distB="0" distL="0" distR="0" simplePos="false" relativeHeight="4" behindDoc="false" locked="false" layoutInCell="true" allowOverlap="true">
                <wp:simplePos x="0" y="0"/>
                <wp:positionH relativeFrom="margin">
                  <wp:posOffset>4284716</wp:posOffset>
                </wp:positionH>
                <wp:positionV relativeFrom="paragraph">
                  <wp:posOffset>376135</wp:posOffset>
                </wp:positionV>
                <wp:extent cx="1637030" cy="377189"/>
                <wp:effectExtent l="0" t="0" r="20320" b="22860"/>
                <wp:wrapNone/>
                <wp:docPr id="1031" name="Rectángulo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637030" cy="377189"/>
                        </a:xfrm>
                        <a:prstGeom prst="rect"/>
                        <a:solidFill>
                          <a:srgbClr val="7f7f7f"/>
                        </a:solidFill>
                        <a:ln cmpd="sng" cap="flat" w="12700">
                          <a:solidFill>
                            <a:srgbClr val="7f7f7f"/>
                          </a:solidFill>
                          <a:prstDash val="solid"/>
                          <a:miter/>
                          <a:headEnd len="med" w="med" type="none"/>
                          <a:tailEnd len="med" w="med" type="none"/>
                        </a:ln>
                      </wps:spPr>
                      <wps:txbx id="1031">
                        <w:txbxContent>
                          <w:p>
                            <w:pPr>
                              <w:pStyle w:val="style0"/>
                              <w:spacing w:after="0" w:lineRule="auto" w:line="240"/>
                              <w:jc w:val="center"/>
                              <w:rPr>
                                <w:b/>
                              </w:rPr>
                            </w:pPr>
                            <w:r>
                              <w:rPr>
                                <w:b/>
                                <w:sz w:val="20"/>
                              </w:rPr>
                              <w:t>CASAS</w:t>
                            </w:r>
                            <w:r>
                              <w:rPr>
                                <w:b/>
                              </w:rPr>
                              <w:t xml:space="preserve"> COMUNITARIAS</w:t>
                            </w:r>
                          </w:p>
                          <w:p>
                            <w:pPr>
                              <w:pStyle w:val="style0"/>
                              <w:spacing w:after="0" w:lineRule="auto" w:line="240"/>
                              <w:jc w:val="center"/>
                              <w:rPr>
                                <w:sz w:val="16"/>
                              </w:rPr>
                            </w:pPr>
                            <w:r>
                              <w:rPr>
                                <w:sz w:val="16"/>
                              </w:rPr>
                              <w:t>Contratistas: 4</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1" fillcolor="#7f7f7f" stroked="t" style="position:absolute;margin-left:337.38pt;margin-top:29.62pt;width:128.9pt;height:29.7pt;z-index:4;mso-position-horizontal-relative:margin;mso-position-vertical-relative:text;mso-width-percent:0;mso-height-percent:0;mso-width-relative:margin;mso-height-relative:margin;mso-wrap-distance-left:0.0pt;mso-wrap-distance-right:0.0pt;visibility:visible;v-text-anchor:middle;">
                <v:stroke joinstyle="miter" color="#7f7f7f" weight="1.0pt"/>
                <v:fill/>
                <v:textbox inset="7.2pt,3.6pt,7.2pt,3.6pt">
                  <w:txbxContent>
                    <w:p>
                      <w:pPr>
                        <w:pStyle w:val="style0"/>
                        <w:spacing w:after="0" w:lineRule="auto" w:line="240"/>
                        <w:jc w:val="center"/>
                        <w:rPr>
                          <w:b/>
                        </w:rPr>
                      </w:pPr>
                      <w:r>
                        <w:rPr>
                          <w:b/>
                          <w:sz w:val="20"/>
                        </w:rPr>
                        <w:t>CASAS</w:t>
                      </w:r>
                      <w:r>
                        <w:rPr>
                          <w:b/>
                        </w:rPr>
                        <w:t xml:space="preserve"> COMUNITARIAS</w:t>
                      </w:r>
                    </w:p>
                    <w:p>
                      <w:pPr>
                        <w:pStyle w:val="style0"/>
                        <w:spacing w:after="0" w:lineRule="auto" w:line="240"/>
                        <w:jc w:val="center"/>
                        <w:rPr>
                          <w:sz w:val="16"/>
                        </w:rPr>
                      </w:pPr>
                      <w:r>
                        <w:rPr>
                          <w:sz w:val="16"/>
                        </w:rPr>
                        <w:t>Contratistas: 4</w:t>
                      </w:r>
                    </w:p>
                  </w:txbxContent>
                </v:textbox>
              </v:rect>
            </w:pict>
          </mc:Fallback>
        </mc:AlternateContent>
      </w:r>
      <w:r>
        <w:rPr>
          <w:rFonts w:ascii="Arial" w:cs="Arial" w:hAnsi="Arial"/>
          <w:noProof/>
          <w:lang w:eastAsia="es-CO"/>
        </w:rPr>
        <mc:AlternateContent>
          <mc:Choice Requires="wps">
            <w:drawing>
              <wp:anchor distT="0" distB="0" distL="0" distR="0" simplePos="false" relativeHeight="3" behindDoc="false" locked="false" layoutInCell="true" allowOverlap="true">
                <wp:simplePos x="0" y="0"/>
                <wp:positionH relativeFrom="margin">
                  <wp:posOffset>4281542</wp:posOffset>
                </wp:positionH>
                <wp:positionV relativeFrom="paragraph">
                  <wp:posOffset>833551</wp:posOffset>
                </wp:positionV>
                <wp:extent cx="1629409" cy="508304"/>
                <wp:effectExtent l="0" t="0" r="27940" b="25400"/>
                <wp:wrapNone/>
                <wp:docPr id="1032" name="Rectángulo 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629409" cy="508304"/>
                        </a:xfrm>
                        <a:prstGeom prst="rect"/>
                        <a:solidFill>
                          <a:srgbClr val="7f7f7f"/>
                        </a:solidFill>
                        <a:ln cmpd="sng" cap="flat" w="12700">
                          <a:solidFill>
                            <a:srgbClr val="7f7f7f"/>
                          </a:solidFill>
                          <a:prstDash val="solid"/>
                          <a:miter/>
                          <a:headEnd len="med" w="med" type="none"/>
                          <a:tailEnd len="med" w="med" type="none"/>
                        </a:ln>
                      </wps:spPr>
                      <wps:txbx id="1032">
                        <w:txbxContent>
                          <w:p>
                            <w:pPr>
                              <w:pStyle w:val="style0"/>
                              <w:spacing w:after="0" w:lineRule="auto" w:line="240"/>
                              <w:jc w:val="center"/>
                              <w:rPr>
                                <w:b/>
                                <w:sz w:val="16"/>
                              </w:rPr>
                            </w:pPr>
                            <w:r>
                              <w:rPr>
                                <w:b/>
                              </w:rPr>
                              <w:t>Gestores</w:t>
                            </w:r>
                          </w:p>
                          <w:p>
                            <w:pPr>
                              <w:pStyle w:val="style0"/>
                              <w:spacing w:after="0" w:lineRule="auto" w:line="240"/>
                              <w:jc w:val="center"/>
                              <w:rPr>
                                <w:sz w:val="16"/>
                              </w:rPr>
                            </w:pPr>
                            <w:r>
                              <w:rPr>
                                <w:sz w:val="16"/>
                              </w:rPr>
                              <w:t>Seguridad y Convivencia</w:t>
                            </w:r>
                          </w:p>
                          <w:p>
                            <w:pPr>
                              <w:pStyle w:val="style0"/>
                              <w:spacing w:after="0" w:lineRule="auto" w:line="240"/>
                              <w:jc w:val="center"/>
                              <w:rPr/>
                            </w:pPr>
                            <w:r>
                              <w:rPr>
                                <w:sz w:val="16"/>
                              </w:rPr>
                              <w:t>Contratistas: 10</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2" fillcolor="#7f7f7f" stroked="t" style="position:absolute;margin-left:337.13pt;margin-top:65.63pt;width:128.3pt;height:40.02pt;z-index:3;mso-position-horizontal-relative:margin;mso-position-vertical-relative:text;mso-width-percent:0;mso-height-percent:0;mso-width-relative:margin;mso-height-relative:margin;mso-wrap-distance-left:0.0pt;mso-wrap-distance-right:0.0pt;visibility:visible;v-text-anchor:middle;">
                <v:stroke joinstyle="miter" color="#7f7f7f" weight="1.0pt"/>
                <v:fill/>
                <v:textbox inset="7.2pt,3.6pt,7.2pt,3.6pt">
                  <w:txbxContent>
                    <w:p>
                      <w:pPr>
                        <w:pStyle w:val="style0"/>
                        <w:spacing w:after="0" w:lineRule="auto" w:line="240"/>
                        <w:jc w:val="center"/>
                        <w:rPr>
                          <w:b/>
                          <w:sz w:val="16"/>
                        </w:rPr>
                      </w:pPr>
                      <w:r>
                        <w:rPr>
                          <w:b/>
                        </w:rPr>
                        <w:t>Gestores</w:t>
                      </w:r>
                    </w:p>
                    <w:p>
                      <w:pPr>
                        <w:pStyle w:val="style0"/>
                        <w:spacing w:after="0" w:lineRule="auto" w:line="240"/>
                        <w:jc w:val="center"/>
                        <w:rPr>
                          <w:sz w:val="16"/>
                        </w:rPr>
                      </w:pPr>
                      <w:r>
                        <w:rPr>
                          <w:sz w:val="16"/>
                        </w:rPr>
                        <w:t>Seguridad y Convivencia</w:t>
                      </w:r>
                    </w:p>
                    <w:p>
                      <w:pPr>
                        <w:pStyle w:val="style0"/>
                        <w:spacing w:after="0" w:lineRule="auto" w:line="240"/>
                        <w:jc w:val="center"/>
                        <w:rPr/>
                      </w:pPr>
                      <w:r>
                        <w:rPr>
                          <w:sz w:val="16"/>
                        </w:rPr>
                        <w:t>Contratistas: 10</w:t>
                      </w:r>
                    </w:p>
                  </w:txbxContent>
                </v:textbox>
              </v:rect>
            </w:pict>
          </mc:Fallback>
        </mc:AlternateContent>
      </w:r>
      <w:r>
        <w:rPr>
          <w:rFonts w:ascii="Arial" w:cs="Arial" w:hAnsi="Arial"/>
          <w:noProof/>
          <w:lang w:eastAsia="es-CO"/>
        </w:rPr>
        <mc:AlternateContent>
          <mc:Choice Requires="wps">
            <w:drawing>
              <wp:anchor distT="0" distB="0" distL="0" distR="0" simplePos="false" relativeHeight="2" behindDoc="false" locked="false" layoutInCell="true" allowOverlap="true">
                <wp:simplePos x="0" y="0"/>
                <wp:positionH relativeFrom="margin">
                  <wp:posOffset>4439920</wp:posOffset>
                </wp:positionH>
                <wp:positionV relativeFrom="paragraph">
                  <wp:posOffset>4445</wp:posOffset>
                </wp:positionV>
                <wp:extent cx="1263650" cy="294005"/>
                <wp:effectExtent l="0" t="0" r="12700" b="10795"/>
                <wp:wrapNone/>
                <wp:docPr id="1033" name="Rectángulo 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63650" cy="294005"/>
                        </a:xfrm>
                        <a:prstGeom prst="rect"/>
                        <a:solidFill>
                          <a:srgbClr val="7f7f7f"/>
                        </a:solidFill>
                        <a:ln cmpd="sng" cap="flat" w="12700">
                          <a:solidFill>
                            <a:srgbClr val="7f7f7f"/>
                          </a:solidFill>
                          <a:prstDash val="solid"/>
                          <a:miter/>
                          <a:headEnd len="med" w="med" type="none"/>
                          <a:tailEnd len="med" w="med" type="none"/>
                        </a:ln>
                      </wps:spPr>
                      <wps:txbx id="1033">
                        <w:txbxContent>
                          <w:p>
                            <w:pPr>
                              <w:pStyle w:val="style0"/>
                              <w:spacing w:after="0" w:lineRule="auto" w:line="240"/>
                              <w:jc w:val="center"/>
                              <w:rPr>
                                <w:b/>
                                <w:sz w:val="20"/>
                              </w:rPr>
                            </w:pPr>
                            <w:r>
                              <w:rPr>
                                <w:b/>
                                <w:sz w:val="24"/>
                              </w:rPr>
                              <w:t>JAL</w:t>
                            </w:r>
                          </w:p>
                          <w:p>
                            <w:pPr>
                              <w:pStyle w:val="style0"/>
                              <w:spacing w:lineRule="auto" w:line="240"/>
                              <w:jc w:val="center"/>
                              <w:rPr>
                                <w:sz w:val="16"/>
                              </w:rPr>
                            </w:pP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3" fillcolor="#7f7f7f" stroked="t" style="position:absolute;margin-left:349.6pt;margin-top:0.35pt;width:99.5pt;height:23.15pt;z-index:2;mso-position-horizontal-relative:margin;mso-position-vertical-relative:text;mso-width-percent:0;mso-height-percent:0;mso-width-relative:margin;mso-height-relative:margin;mso-wrap-distance-left:0.0pt;mso-wrap-distance-right:0.0pt;visibility:visible;v-text-anchor:middle;">
                <v:stroke joinstyle="miter" color="#7f7f7f" weight="1.0pt"/>
                <v:fill/>
                <v:textbox inset="7.2pt,3.6pt,7.2pt,3.6pt">
                  <w:txbxContent>
                    <w:p>
                      <w:pPr>
                        <w:pStyle w:val="style0"/>
                        <w:spacing w:after="0" w:lineRule="auto" w:line="240"/>
                        <w:jc w:val="center"/>
                        <w:rPr>
                          <w:b/>
                          <w:sz w:val="20"/>
                        </w:rPr>
                      </w:pPr>
                      <w:r>
                        <w:rPr>
                          <w:b/>
                          <w:sz w:val="24"/>
                        </w:rPr>
                        <w:t>JAL</w:t>
                      </w:r>
                    </w:p>
                    <w:p>
                      <w:pPr>
                        <w:pStyle w:val="style0"/>
                        <w:spacing w:lineRule="auto" w:line="240"/>
                        <w:jc w:val="center"/>
                        <w:rPr>
                          <w:sz w:val="16"/>
                        </w:rPr>
                      </w:pPr>
                    </w:p>
                  </w:txbxContent>
                </v:textbox>
              </v:rect>
            </w:pict>
          </mc:Fallback>
        </mc:AlternateContent>
      </w:r>
      <w:r>
        <w:rPr>
          <w:rFonts w:ascii="Arial" w:cs="Arial" w:hAnsi="Arial"/>
          <w:noProof/>
          <w:lang w:eastAsia="es-CO"/>
        </w:rPr>
        <w:drawing>
          <wp:inline distL="0" distT="0" distB="0" distR="0">
            <wp:extent cx="5612130" cy="6821805"/>
            <wp:effectExtent l="0" t="0" r="0" b="0"/>
            <wp:docPr id="1034" name="Diagrama 2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pPr>
        <w:pStyle w:val="style0"/>
        <w:shd w:val="clear" w:color="auto" w:fill="ffffff"/>
        <w:spacing w:after="0" w:lineRule="auto" w:line="240"/>
        <w:ind w:left="567"/>
        <w:jc w:val="both"/>
        <w:rPr>
          <w:rFonts w:ascii="Arial" w:cs="Arial" w:hAnsi="Arial"/>
          <w:color w:val="000000"/>
          <w:sz w:val="16"/>
          <w:szCs w:val="16"/>
          <w:shd w:val="clear" w:color="auto" w:fill="ffffff"/>
        </w:rPr>
      </w:pPr>
      <w:r>
        <w:rPr>
          <w:rFonts w:ascii="Arial" w:cs="Arial" w:hAnsi="Arial"/>
          <w:color w:val="000000"/>
          <w:sz w:val="16"/>
          <w:szCs w:val="16"/>
          <w:shd w:val="clear" w:color="auto" w:fill="ffffff"/>
        </w:rPr>
        <w:t>Fuente: Elaboración propia - Alcaldía Local de La Candelaria</w:t>
      </w:r>
    </w:p>
    <w:p>
      <w:pPr>
        <w:pStyle w:val="style0"/>
        <w:shd w:val="clear" w:color="auto" w:fill="ffffff"/>
        <w:spacing w:after="0" w:lineRule="auto" w:line="240"/>
        <w:ind w:left="567"/>
        <w:jc w:val="both"/>
        <w:rPr>
          <w:rFonts w:ascii="Arial" w:cs="Arial" w:hAnsi="Arial"/>
          <w:color w:val="000000"/>
          <w:sz w:val="16"/>
          <w:szCs w:val="16"/>
          <w:highlight w:val="yellow"/>
          <w:shd w:val="clear" w:color="auto" w:fill="ffffff"/>
        </w:rPr>
      </w:pPr>
    </w:p>
    <w:p>
      <w:pPr>
        <w:pStyle w:val="style0"/>
        <w:shd w:val="clear" w:color="auto" w:fill="ffffff"/>
        <w:spacing w:after="0" w:lineRule="auto" w:line="240"/>
        <w:ind w:left="567"/>
        <w:jc w:val="both"/>
        <w:rPr>
          <w:rFonts w:ascii="Arial" w:cs="Arial" w:hAnsi="Arial"/>
          <w:color w:val="000000"/>
          <w:sz w:val="16"/>
          <w:szCs w:val="16"/>
          <w:highlight w:val="yellow"/>
          <w:shd w:val="clear" w:color="auto" w:fill="ffffff"/>
        </w:rPr>
      </w:pPr>
    </w:p>
    <w:p>
      <w:pPr>
        <w:pStyle w:val="style0"/>
        <w:shd w:val="clear" w:color="auto" w:fill="ffffff"/>
        <w:spacing w:after="0" w:lineRule="auto" w:line="240"/>
        <w:ind w:left="567"/>
        <w:jc w:val="both"/>
        <w:rPr>
          <w:rFonts w:ascii="Arial" w:cs="Arial" w:hAnsi="Arial"/>
          <w:color w:val="000000"/>
          <w:sz w:val="16"/>
          <w:szCs w:val="16"/>
          <w:highlight w:val="yellow"/>
          <w:shd w:val="clear" w:color="auto" w:fill="ffffff"/>
        </w:rPr>
      </w:pPr>
    </w:p>
    <w:p>
      <w:pPr>
        <w:pStyle w:val="style0"/>
        <w:shd w:val="clear" w:color="auto" w:fill="ffffff"/>
        <w:spacing w:after="0" w:lineRule="auto" w:line="240"/>
        <w:ind w:left="567"/>
        <w:jc w:val="both"/>
        <w:rPr>
          <w:rFonts w:ascii="Arial" w:cs="Arial" w:hAnsi="Arial"/>
          <w:color w:val="000000"/>
          <w:sz w:val="16"/>
          <w:szCs w:val="16"/>
          <w:highlight w:val="yellow"/>
          <w:shd w:val="clear" w:color="auto" w:fill="ffffff"/>
        </w:rPr>
      </w:pPr>
    </w:p>
    <w:p>
      <w:pPr>
        <w:pStyle w:val="style0"/>
        <w:shd w:val="clear" w:color="auto" w:fill="ffffff"/>
        <w:spacing w:after="0" w:lineRule="auto" w:line="240"/>
        <w:ind w:left="567"/>
        <w:jc w:val="both"/>
        <w:rPr>
          <w:rFonts w:ascii="Arial" w:cs="Arial" w:hAnsi="Arial"/>
          <w:color w:val="000000"/>
          <w:sz w:val="16"/>
          <w:szCs w:val="16"/>
          <w:highlight w:val="yellow"/>
          <w:shd w:val="clear" w:color="auto" w:fill="ffffff"/>
        </w:rPr>
      </w:pPr>
    </w:p>
    <w:p>
      <w:pPr>
        <w:pStyle w:val="style0"/>
        <w:shd w:val="clear" w:color="auto" w:fill="ffffff"/>
        <w:spacing w:after="0" w:lineRule="auto" w:line="240"/>
        <w:ind w:left="567"/>
        <w:jc w:val="both"/>
        <w:rPr>
          <w:rFonts w:ascii="Arial" w:cs="Arial" w:hAnsi="Arial"/>
          <w:color w:val="000000"/>
          <w:sz w:val="16"/>
          <w:szCs w:val="16"/>
          <w:highlight w:val="yellow"/>
          <w:shd w:val="clear" w:color="auto" w:fill="ffffff"/>
        </w:rPr>
      </w:pPr>
    </w:p>
    <w:p>
      <w:pPr>
        <w:pStyle w:val="style0"/>
        <w:shd w:val="clear" w:color="auto" w:fill="ffffff"/>
        <w:spacing w:after="0" w:lineRule="auto" w:line="240"/>
        <w:ind w:left="567"/>
        <w:jc w:val="both"/>
        <w:rPr>
          <w:rFonts w:ascii="Arial" w:cs="Arial" w:hAnsi="Arial"/>
          <w:color w:val="000000"/>
          <w:sz w:val="16"/>
          <w:szCs w:val="16"/>
          <w:highlight w:val="yellow"/>
          <w:shd w:val="clear" w:color="auto" w:fill="ffffff"/>
        </w:rPr>
      </w:pPr>
    </w:p>
    <w:p>
      <w:pPr>
        <w:pStyle w:val="style0"/>
        <w:shd w:val="clear" w:color="auto" w:fill="ffffff"/>
        <w:spacing w:after="0" w:lineRule="auto" w:line="240"/>
        <w:ind w:left="567"/>
        <w:jc w:val="both"/>
        <w:rPr>
          <w:rFonts w:ascii="Arial" w:cs="Arial" w:hAnsi="Arial"/>
          <w:color w:val="000000"/>
          <w:sz w:val="16"/>
          <w:szCs w:val="16"/>
          <w:highlight w:val="yellow"/>
          <w:shd w:val="clear" w:color="auto" w:fill="ffffff"/>
        </w:rPr>
      </w:pPr>
    </w:p>
    <w:p>
      <w:pPr>
        <w:pStyle w:val="style0"/>
        <w:shd w:val="clear" w:color="auto" w:fill="ffffff"/>
        <w:spacing w:after="0" w:lineRule="auto" w:line="240"/>
        <w:ind w:left="567"/>
        <w:jc w:val="both"/>
        <w:rPr>
          <w:rFonts w:ascii="Arial" w:cs="Arial" w:hAnsi="Arial"/>
          <w:color w:val="000000"/>
          <w:sz w:val="16"/>
          <w:szCs w:val="16"/>
          <w:highlight w:val="yellow"/>
          <w:shd w:val="clear" w:color="auto" w:fill="ffffff"/>
        </w:rPr>
      </w:pPr>
    </w:p>
    <w:p>
      <w:pPr>
        <w:pStyle w:val="style0"/>
        <w:spacing w:after="0" w:lineRule="auto" w:line="240"/>
        <w:jc w:val="both"/>
        <w:rPr>
          <w:rFonts w:ascii="Arial" w:cs="Arial" w:hAnsi="Arial"/>
          <w:b/>
          <w:color w:val="000000"/>
          <w:shd w:val="clear" w:color="auto" w:fill="ffffff"/>
        </w:rPr>
      </w:pPr>
      <w:r>
        <w:rPr>
          <w:rFonts w:ascii="Arial" w:cs="Arial" w:hAnsi="Arial"/>
          <w:b/>
          <w:color w:val="000000"/>
          <w:shd w:val="clear" w:color="auto" w:fill="ffffff"/>
        </w:rPr>
        <w:t>DESPACHO</w:t>
      </w:r>
    </w:p>
    <w:p>
      <w:pPr>
        <w:pStyle w:val="style0"/>
        <w:spacing w:after="0" w:lineRule="auto" w:line="240"/>
        <w:jc w:val="both"/>
        <w:rPr>
          <w:rFonts w:ascii="Arial" w:cs="Arial" w:hAnsi="Arial"/>
          <w:b/>
          <w:color w:val="000000"/>
          <w:shd w:val="clear" w:color="auto" w:fill="ffffff"/>
        </w:rPr>
      </w:pPr>
    </w:p>
    <w:p>
      <w:pPr>
        <w:pStyle w:val="style0"/>
        <w:spacing w:after="0" w:lineRule="auto" w:line="240"/>
        <w:jc w:val="both"/>
        <w:rPr>
          <w:rFonts w:ascii="Arial" w:cs="Arial" w:hAnsi="Arial"/>
          <w:b/>
          <w:color w:val="000000"/>
          <w:shd w:val="clear" w:color="auto" w:fill="ffffff"/>
        </w:rPr>
      </w:pPr>
      <w:r>
        <w:rPr>
          <w:rFonts w:ascii="Arial" w:cs="Arial" w:hAnsi="Arial"/>
          <w:color w:val="000000"/>
          <w:shd w:val="clear" w:color="auto" w:fill="ffffff"/>
        </w:rPr>
        <w:t xml:space="preserve">La Alcaldesa Local se encarga de coordinar la acción administrativa del Distrito en la localidad, ejerciendo las funciones que les fijen y deleguen el Concejo, el Alcalde Mayor, la </w:t>
      </w:r>
      <w:r>
        <w:rPr>
          <w:rFonts w:ascii="Arial" w:cs="Arial" w:hAnsi="Arial"/>
          <w:color w:val="000000"/>
          <w:shd w:val="clear" w:color="auto" w:fill="ffffff"/>
        </w:rPr>
        <w:t>J</w:t>
      </w:r>
      <w:r>
        <w:rPr>
          <w:rFonts w:ascii="Arial" w:cs="Arial" w:hAnsi="Arial"/>
          <w:color w:val="000000"/>
          <w:shd w:val="clear" w:color="auto" w:fill="ffffff"/>
        </w:rPr>
        <w:t xml:space="preserve">unta </w:t>
      </w:r>
      <w:r>
        <w:rPr>
          <w:rFonts w:ascii="Arial" w:cs="Arial" w:hAnsi="Arial"/>
          <w:color w:val="000000"/>
          <w:shd w:val="clear" w:color="auto" w:fill="ffffff"/>
        </w:rPr>
        <w:t>A</w:t>
      </w:r>
      <w:r>
        <w:rPr>
          <w:rFonts w:ascii="Arial" w:cs="Arial" w:hAnsi="Arial"/>
          <w:color w:val="000000"/>
          <w:shd w:val="clear" w:color="auto" w:fill="ffffff"/>
        </w:rPr>
        <w:t>dministradora</w:t>
      </w:r>
      <w:r>
        <w:rPr>
          <w:rFonts w:ascii="Arial" w:cs="Arial" w:hAnsi="Arial"/>
          <w:color w:val="000000"/>
          <w:shd w:val="clear" w:color="auto" w:fill="ffffff"/>
        </w:rPr>
        <w:t xml:space="preserve"> Local</w:t>
      </w:r>
      <w:r>
        <w:rPr>
          <w:rFonts w:ascii="Arial" w:cs="Arial" w:hAnsi="Arial"/>
          <w:color w:val="000000"/>
          <w:shd w:val="clear" w:color="auto" w:fill="ffffff"/>
        </w:rPr>
        <w:t xml:space="preserve"> y otras autoridades distritales</w:t>
      </w:r>
      <w:r>
        <w:rPr>
          <w:rFonts w:ascii="robotolight" w:hAnsi="robotolight"/>
          <w:color w:val="000000"/>
          <w:sz w:val="27"/>
          <w:szCs w:val="27"/>
          <w:shd w:val="clear" w:color="auto" w:fill="ffffff"/>
        </w:rPr>
        <w:t xml:space="preserve">. </w:t>
      </w:r>
    </w:p>
    <w:p>
      <w:pPr>
        <w:pStyle w:val="style0"/>
        <w:spacing w:after="0" w:lineRule="auto" w:line="240"/>
        <w:jc w:val="both"/>
        <w:rPr>
          <w:rFonts w:ascii="Arial" w:cs="Arial" w:hAnsi="Arial"/>
          <w:b/>
          <w:color w:val="000000"/>
          <w:shd w:val="clear" w:color="auto" w:fill="ffffff"/>
        </w:rPr>
      </w:pPr>
    </w:p>
    <w:p>
      <w:pPr>
        <w:pStyle w:val="style0"/>
        <w:spacing w:after="0" w:lineRule="auto" w:line="240"/>
        <w:jc w:val="both"/>
        <w:rPr>
          <w:rFonts w:ascii="Arial" w:cs="Arial" w:hAnsi="Arial"/>
          <w:b/>
          <w:color w:val="000000"/>
          <w:shd w:val="clear" w:color="auto" w:fill="ffffff"/>
        </w:rPr>
      </w:pPr>
      <w:r>
        <w:rPr>
          <w:rFonts w:ascii="Arial" w:cs="Arial" w:hAnsi="Arial"/>
          <w:b/>
          <w:color w:val="000000"/>
          <w:shd w:val="clear" w:color="auto" w:fill="ffffff"/>
        </w:rPr>
        <w:t>AREA DE GESTIÓN DEL DESARROLLO LOCAL, ADMINISTRATIVA Y FINANCIERA</w:t>
      </w:r>
    </w:p>
    <w:p>
      <w:pPr>
        <w:pStyle w:val="style0"/>
        <w:spacing w:after="0" w:lineRule="auto" w:line="240"/>
        <w:jc w:val="both"/>
        <w:rPr>
          <w:rFonts w:ascii="Arial" w:cs="Arial" w:hAnsi="Arial"/>
          <w:color w:val="000000"/>
          <w:shd w:val="clear" w:color="auto" w:fill="ffffff"/>
        </w:rPr>
      </w:pPr>
    </w:p>
    <w:p>
      <w:pPr>
        <w:pStyle w:val="style0"/>
        <w:spacing w:after="0" w:lineRule="auto" w:line="240"/>
        <w:jc w:val="both"/>
        <w:rPr>
          <w:rFonts w:ascii="Arial" w:cs="Arial" w:hAnsi="Arial"/>
          <w:color w:val="000000"/>
          <w:shd w:val="clear" w:color="auto" w:fill="ffffff"/>
        </w:rPr>
      </w:pPr>
      <w:r>
        <w:rPr>
          <w:rFonts w:ascii="Arial" w:cs="Arial" w:hAnsi="Arial"/>
          <w:color w:val="000000"/>
          <w:shd w:val="clear" w:color="auto" w:fill="ffffff"/>
        </w:rPr>
        <w:t xml:space="preserve">Tiene como objetivo organizar y orientar el trámite relacionado con los asuntos administrativos y financieros de la localidad, apoyar al Alcalde Local en el cumplimiento de su función de coordinación institucional con las entidades del sector central y descentralizado, sobre los asuntos de gestión administrativa, planeación, participación y desarrollo de la Alcaldía Local.  Lidera el proceso de Gestión Corporativa Local para la ejecución del respectivo presupuesto anual, coordina el seguimiento a la ejecución del </w:t>
      </w:r>
      <w:r>
        <w:rPr>
          <w:rFonts w:ascii="Arial" w:cs="Arial" w:hAnsi="Arial"/>
          <w:color w:val="000000"/>
          <w:shd w:val="clear" w:color="auto" w:fill="ffffff"/>
        </w:rPr>
        <w:t>p</w:t>
      </w:r>
      <w:r>
        <w:rPr>
          <w:rFonts w:ascii="Arial" w:cs="Arial" w:hAnsi="Arial"/>
          <w:color w:val="000000"/>
          <w:shd w:val="clear" w:color="auto" w:fill="ffffff"/>
        </w:rPr>
        <w:t xml:space="preserve">lan de </w:t>
      </w:r>
      <w:r>
        <w:rPr>
          <w:rFonts w:ascii="Arial" w:cs="Arial" w:hAnsi="Arial"/>
          <w:color w:val="000000"/>
          <w:shd w:val="clear" w:color="auto" w:fill="ffffff"/>
        </w:rPr>
        <w:t>d</w:t>
      </w:r>
      <w:r>
        <w:rPr>
          <w:rFonts w:ascii="Arial" w:cs="Arial" w:hAnsi="Arial"/>
          <w:color w:val="000000"/>
          <w:shd w:val="clear" w:color="auto" w:fill="ffffff"/>
        </w:rPr>
        <w:t>esarrollo, por delegación del alcalde asiste a las diferentes reuniones, comités, consejos, y demás instituciones o entes que agrupan a la comunidad organizada de la localidad, prepara y revisa documentos de respuesta de requerimientos e información y adelanta acciones de seguimiento para que se den las respuestas en los términos de ley.</w:t>
      </w:r>
    </w:p>
    <w:p>
      <w:pPr>
        <w:pStyle w:val="style0"/>
        <w:spacing w:after="0"/>
        <w:jc w:val="both"/>
        <w:rPr>
          <w:rFonts w:ascii="Arial" w:cs="Arial" w:hAnsi="Arial"/>
          <w:color w:val="000000"/>
          <w:shd w:val="clear" w:color="auto" w:fill="ffffff"/>
        </w:rPr>
      </w:pPr>
      <w:r>
        <w:rPr>
          <w:rFonts w:ascii="Arial" w:cs="Arial" w:hAnsi="Arial"/>
          <w:color w:val="000000"/>
        </w:rPr>
        <w:br/>
      </w:r>
      <w:r>
        <w:rPr>
          <w:rFonts w:ascii="Arial" w:cs="Arial" w:hAnsi="Arial"/>
          <w:color w:val="000000"/>
          <w:shd w:val="clear" w:color="auto" w:fill="ffffff"/>
        </w:rPr>
        <w:t>Bajo su articulación operan las oficinas de Planeación, Presupuesto, Contabilidad, Almacén, Jurídica, Centro de Información y Documentación (CDI), Comunicaciones, Gestores, Gestión Documental, Sistemas, Calidad y Ambiental. </w:t>
      </w:r>
    </w:p>
    <w:p>
      <w:pPr>
        <w:pStyle w:val="style0"/>
        <w:spacing w:after="0"/>
        <w:jc w:val="both"/>
        <w:rPr>
          <w:rFonts w:ascii="Arial" w:cs="Arial" w:hAnsi="Arial"/>
          <w:color w:val="000000"/>
          <w:shd w:val="clear" w:color="auto" w:fill="ffffff"/>
        </w:rPr>
      </w:pPr>
    </w:p>
    <w:p>
      <w:pPr>
        <w:pStyle w:val="style179"/>
        <w:numPr>
          <w:ilvl w:val="0"/>
          <w:numId w:val="4"/>
        </w:numPr>
        <w:spacing w:after="0"/>
        <w:ind w:left="426"/>
        <w:jc w:val="both"/>
        <w:rPr>
          <w:rFonts w:ascii="Arial" w:cs="Arial" w:hAnsi="Arial"/>
          <w:color w:val="000000"/>
          <w:shd w:val="clear" w:color="auto" w:fill="ffffff"/>
        </w:rPr>
      </w:pPr>
      <w:r>
        <w:rPr>
          <w:rFonts w:ascii="Arial" w:cs="Arial" w:hAnsi="Arial"/>
          <w:b/>
          <w:color w:val="000000"/>
          <w:shd w:val="clear" w:color="auto" w:fill="ffffff"/>
        </w:rPr>
        <w:t xml:space="preserve">Planeación: </w:t>
      </w:r>
      <w:r>
        <w:rPr>
          <w:rFonts w:ascii="Arial" w:cs="Arial" w:hAnsi="Arial"/>
          <w:color w:val="000000"/>
          <w:shd w:val="clear" w:color="auto" w:fill="ffffff"/>
        </w:rPr>
        <w:t>Sus principales funciones están enmarcadas en apoyar el proceso de elaboración, discusión y aprobación del Plan de Desarrollo Local -PDL-, de acuerdo a lo establecido en el Acuerdo 13 de 2000; realizar la formulación y seguimiento de los Proyectos de Inversión Local, elaboración de estudios previos, pre pliegos y pliegos de condiciones para la contratación de los recursos incluidos en el Plan Operativo Anual de Inversiones; verificar el avance de cumplimiento de las metas del respectivo PDL, realizar la actualización del aplicativo SEGPLAN  a partir del análisis de la Matriz Unificada de Seguimiento a la Inversión (MUSI), y  administrar el Banco de Iniciativas.</w:t>
      </w:r>
    </w:p>
    <w:p>
      <w:pPr>
        <w:pStyle w:val="style0"/>
        <w:spacing w:after="0"/>
        <w:ind w:left="426"/>
        <w:jc w:val="both"/>
        <w:rPr>
          <w:rFonts w:ascii="Arial" w:cs="Arial" w:hAnsi="Arial"/>
          <w:color w:val="000000"/>
          <w:shd w:val="clear" w:color="auto" w:fill="ffffff"/>
        </w:rPr>
      </w:pPr>
    </w:p>
    <w:p>
      <w:pPr>
        <w:pStyle w:val="style179"/>
        <w:spacing w:after="0"/>
        <w:ind w:left="426"/>
        <w:jc w:val="both"/>
        <w:rPr>
          <w:rFonts w:ascii="Arial" w:cs="Arial" w:hAnsi="Arial"/>
          <w:b/>
          <w:color w:val="000000"/>
          <w:shd w:val="clear" w:color="auto" w:fill="ffffff"/>
        </w:rPr>
      </w:pPr>
      <w:r>
        <w:rPr>
          <w:rFonts w:ascii="Arial" w:cs="Arial" w:hAnsi="Arial"/>
          <w:color w:val="000000"/>
          <w:shd w:val="clear" w:color="auto" w:fill="ffffff"/>
        </w:rPr>
        <w:t>Desde planeación se coordina la ejecución de los proyectos de inversión de infraestructura, sociales, de participación y de cultura, recreación y deporte.</w:t>
      </w:r>
    </w:p>
    <w:p>
      <w:pPr>
        <w:pStyle w:val="style0"/>
        <w:spacing w:after="0"/>
        <w:ind w:left="426"/>
        <w:jc w:val="both"/>
        <w:rPr>
          <w:rFonts w:ascii="Arial" w:cs="Arial" w:hAnsi="Arial"/>
          <w:color w:val="000000"/>
          <w:shd w:val="clear" w:color="auto" w:fill="ffffff"/>
        </w:rPr>
      </w:pPr>
    </w:p>
    <w:p>
      <w:pPr>
        <w:pStyle w:val="style179"/>
        <w:numPr>
          <w:ilvl w:val="0"/>
          <w:numId w:val="4"/>
        </w:numPr>
        <w:spacing w:after="0"/>
        <w:ind w:left="426"/>
        <w:jc w:val="both"/>
        <w:rPr>
          <w:rFonts w:ascii="Arial" w:cs="Arial" w:hAnsi="Arial"/>
          <w:color w:val="000000"/>
          <w:shd w:val="clear" w:color="auto" w:fill="ffffff"/>
        </w:rPr>
      </w:pPr>
      <w:r>
        <w:rPr>
          <w:rFonts w:ascii="Arial" w:cs="Arial" w:hAnsi="Arial"/>
          <w:b/>
          <w:color w:val="000000"/>
          <w:shd w:val="clear" w:color="auto" w:fill="ffffff"/>
        </w:rPr>
        <w:t xml:space="preserve">Presupuesto: </w:t>
      </w:r>
      <w:r>
        <w:rPr>
          <w:rFonts w:ascii="Arial" w:cs="Arial" w:hAnsi="Arial"/>
          <w:color w:val="000000"/>
          <w:shd w:val="clear" w:color="auto" w:fill="ffffff"/>
        </w:rPr>
        <w:t xml:space="preserve">Está encargada de responder por la elaboración del proyecto de presupuesto del Fondo de Desarrollo Local de acuerdo con las partidas asignadas y asesorar la ejecución y control de </w:t>
      </w:r>
      <w:r>
        <w:rPr>
          <w:rFonts w:ascii="Arial" w:cs="Arial" w:hAnsi="Arial"/>
          <w:color w:val="000000"/>
          <w:shd w:val="clear" w:color="auto" w:fill="ffffff"/>
        </w:rPr>
        <w:t>é</w:t>
      </w:r>
      <w:r>
        <w:rPr>
          <w:rFonts w:ascii="Arial" w:cs="Arial" w:hAnsi="Arial"/>
          <w:color w:val="000000"/>
          <w:shd w:val="clear" w:color="auto" w:fill="ffffff"/>
        </w:rPr>
        <w:t>ste.</w:t>
      </w:r>
    </w:p>
    <w:p>
      <w:pPr>
        <w:pStyle w:val="style0"/>
        <w:spacing w:after="0"/>
        <w:ind w:left="426"/>
        <w:jc w:val="both"/>
        <w:rPr>
          <w:rFonts w:ascii="Arial" w:cs="Arial" w:hAnsi="Arial"/>
          <w:color w:val="000000"/>
          <w:shd w:val="clear" w:color="auto" w:fill="ffffff"/>
        </w:rPr>
      </w:pPr>
    </w:p>
    <w:p>
      <w:pPr>
        <w:pStyle w:val="style179"/>
        <w:numPr>
          <w:ilvl w:val="0"/>
          <w:numId w:val="4"/>
        </w:numPr>
        <w:spacing w:after="0"/>
        <w:ind w:left="426"/>
        <w:jc w:val="both"/>
        <w:rPr>
          <w:rFonts w:ascii="Arial" w:cs="Arial" w:hAnsi="Arial"/>
          <w:color w:val="000000"/>
          <w:shd w:val="clear" w:color="auto" w:fill="ffffff"/>
        </w:rPr>
      </w:pPr>
      <w:r>
        <w:rPr>
          <w:rFonts w:ascii="Arial" w:cs="Arial" w:hAnsi="Arial"/>
          <w:b/>
          <w:color w:val="000000"/>
          <w:shd w:val="clear" w:color="auto" w:fill="ffffff"/>
        </w:rPr>
        <w:t xml:space="preserve">Contabilidad: </w:t>
      </w:r>
      <w:r>
        <w:rPr>
          <w:rFonts w:ascii="Arial" w:cs="Arial" w:hAnsi="Arial"/>
          <w:color w:val="000000"/>
          <w:shd w:val="clear" w:color="auto" w:fill="ffffff"/>
        </w:rPr>
        <w:t>Es la encargada de la consolidación de toda la información económica, jurídica y social  que se reportan desde las diferentes áreas de la Alcaldía Local, y desde entidades externas, en donde se aplican las políticas, principios y procedimientos que bajo el marco conceptual de la Contaduría General de la Nación, la Dirección Distrital de Contabilidad de la Secretaria de Hacienda y la Política Contable aplicable a los Fondos de Desarrollo Local, garantizando una información razonable, confiable y oportuna.</w:t>
      </w:r>
    </w:p>
    <w:p>
      <w:pPr>
        <w:pStyle w:val="style0"/>
        <w:spacing w:after="0"/>
        <w:ind w:left="426"/>
        <w:jc w:val="both"/>
        <w:rPr>
          <w:rFonts w:ascii="Arial" w:cs="Arial" w:hAnsi="Arial"/>
          <w:color w:val="000000"/>
          <w:shd w:val="clear" w:color="auto" w:fill="ffffff"/>
        </w:rPr>
      </w:pPr>
    </w:p>
    <w:p>
      <w:pPr>
        <w:pStyle w:val="style179"/>
        <w:numPr>
          <w:ilvl w:val="0"/>
          <w:numId w:val="4"/>
        </w:numPr>
        <w:spacing w:after="0"/>
        <w:ind w:left="426"/>
        <w:jc w:val="both"/>
        <w:rPr>
          <w:rFonts w:ascii="Arial" w:cs="Arial" w:hAnsi="Arial"/>
          <w:color w:val="000000"/>
          <w:shd w:val="clear" w:color="auto" w:fill="ffffff"/>
        </w:rPr>
      </w:pPr>
      <w:r>
        <w:rPr>
          <w:rFonts w:ascii="Arial" w:cs="Arial" w:hAnsi="Arial"/>
          <w:b/>
          <w:color w:val="000000"/>
          <w:shd w:val="clear" w:color="auto" w:fill="ffffff"/>
        </w:rPr>
        <w:t xml:space="preserve">Almacén: </w:t>
      </w:r>
      <w:r>
        <w:rPr>
          <w:rFonts w:ascii="Arial" w:cs="Arial" w:hAnsi="Arial"/>
          <w:color w:val="000000"/>
          <w:shd w:val="clear" w:color="auto" w:fill="ffffff"/>
        </w:rPr>
        <w:t>Tiene como propósito principal recibir, almacenar, distribuir y controlar los recursos físicos del Fondo de Desarrollo Local, de acuerdo con las demandas internas y externas de la Alcaldía Local, enmarcadas dentro de</w:t>
      </w:r>
      <w:r>
        <w:rPr>
          <w:rFonts w:ascii="Arial" w:cs="Arial" w:hAnsi="Arial"/>
          <w:color w:val="000000"/>
          <w:shd w:val="clear" w:color="auto" w:fill="ffffff"/>
        </w:rPr>
        <w:t>l</w:t>
      </w:r>
      <w:r>
        <w:rPr>
          <w:rFonts w:ascii="Arial" w:cs="Arial" w:hAnsi="Arial"/>
          <w:color w:val="000000"/>
          <w:shd w:val="clear" w:color="auto" w:fill="ffffff"/>
        </w:rPr>
        <w:t xml:space="preserve"> plan de desarrollo local. Esta oficina se encarga del seguimiento y control de los bienes muebles e inmuebles de propiedad del Fondo de Desarrollo Local, que se tienen en bodega, en servicio en la entidad y en poder de terceros. Igualmente, se encarga de abastecer los elementos necesarios para funcionamiento de las diferentes dependencias.</w:t>
      </w:r>
    </w:p>
    <w:p>
      <w:pPr>
        <w:pStyle w:val="style0"/>
        <w:spacing w:after="0"/>
        <w:ind w:left="426"/>
        <w:jc w:val="both"/>
        <w:rPr>
          <w:rFonts w:ascii="Arial" w:cs="Arial" w:hAnsi="Arial"/>
          <w:color w:val="000000"/>
          <w:shd w:val="clear" w:color="auto" w:fill="ffffff"/>
        </w:rPr>
      </w:pPr>
    </w:p>
    <w:p>
      <w:pPr>
        <w:pStyle w:val="style179"/>
        <w:numPr>
          <w:ilvl w:val="0"/>
          <w:numId w:val="4"/>
        </w:numPr>
        <w:spacing w:after="0" w:lineRule="auto" w:line="240"/>
        <w:ind w:left="426"/>
        <w:jc w:val="both"/>
        <w:rPr>
          <w:rFonts w:ascii="Arial" w:cs="Arial" w:eastAsia="Times New Roman" w:hAnsi="Arial"/>
          <w:color w:val="000000"/>
          <w:lang w:eastAsia="es-CO"/>
        </w:rPr>
      </w:pPr>
      <w:r>
        <w:rPr>
          <w:rFonts w:ascii="Arial" w:cs="Arial" w:hAnsi="Arial"/>
          <w:b/>
          <w:color w:val="000000"/>
          <w:shd w:val="clear" w:color="auto" w:fill="ffffff"/>
        </w:rPr>
        <w:t>Centro de Información y Documentación (CDI</w:t>
      </w:r>
      <w:r>
        <w:rPr>
          <w:rFonts w:ascii="Arial" w:cs="Arial" w:eastAsia="Times New Roman" w:hAnsi="Arial"/>
          <w:b/>
          <w:color w:val="000000"/>
          <w:shd w:val="clear" w:color="auto" w:fill="ffffff"/>
          <w:lang w:eastAsia="es-CO"/>
        </w:rPr>
        <w:t xml:space="preserve">): </w:t>
      </w:r>
      <w:r>
        <w:rPr>
          <w:rFonts w:ascii="Arial" w:cs="Arial" w:eastAsia="Times New Roman" w:hAnsi="Arial"/>
          <w:color w:val="000000"/>
          <w:shd w:val="clear" w:color="auto" w:fill="ffffff"/>
          <w:lang w:eastAsia="es-CO"/>
        </w:rPr>
        <w:t xml:space="preserve">Recepción y radicación de los documentos de entrada y envío de los documentos que son emitidos por la Alcaldía. </w:t>
      </w:r>
      <w:r>
        <w:rPr>
          <w:rFonts w:ascii="Arial" w:cs="Arial" w:eastAsia="Times New Roman" w:hAnsi="Arial"/>
          <w:color w:val="000000"/>
          <w:lang w:eastAsia="es-CO"/>
        </w:rPr>
        <w:t>Entregan la correspondencia que produce la Alcaldía Local.</w:t>
      </w:r>
    </w:p>
    <w:p>
      <w:pPr>
        <w:pStyle w:val="style0"/>
        <w:spacing w:after="0"/>
        <w:ind w:left="426"/>
        <w:jc w:val="both"/>
        <w:rPr>
          <w:rFonts w:ascii="Arial" w:cs="Arial" w:hAnsi="Arial"/>
          <w:color w:val="000000"/>
          <w:shd w:val="clear" w:color="auto" w:fill="ffffff"/>
        </w:rPr>
      </w:pPr>
    </w:p>
    <w:p>
      <w:pPr>
        <w:pStyle w:val="style179"/>
        <w:numPr>
          <w:ilvl w:val="0"/>
          <w:numId w:val="4"/>
        </w:numPr>
        <w:spacing w:after="0"/>
        <w:ind w:left="426"/>
        <w:jc w:val="both"/>
        <w:rPr>
          <w:rFonts w:ascii="Arial" w:cs="Arial" w:hAnsi="Arial"/>
          <w:color w:val="000000"/>
          <w:shd w:val="clear" w:color="auto" w:fill="ffffff"/>
        </w:rPr>
      </w:pPr>
      <w:r>
        <w:rPr>
          <w:rFonts w:ascii="Arial" w:cs="Arial" w:hAnsi="Arial"/>
          <w:b/>
          <w:color w:val="000000"/>
          <w:shd w:val="clear" w:color="auto" w:fill="ffffff"/>
        </w:rPr>
        <w:t xml:space="preserve">Comunicaciones: </w:t>
      </w:r>
      <w:r>
        <w:rPr>
          <w:rFonts w:ascii="Arial" w:cs="Arial" w:hAnsi="Arial"/>
          <w:color w:val="000000"/>
          <w:shd w:val="clear" w:color="auto" w:fill="ffffff"/>
        </w:rPr>
        <w:t>Divulgar y socializar la gestión de la entidad por medio de la formulación y el desarrollo de estrategias comunicativas, para garantizar la disponibilidad de la información y la interacción con las partes interesadas internas y externas.</w:t>
      </w:r>
    </w:p>
    <w:p>
      <w:pPr>
        <w:pStyle w:val="style0"/>
        <w:spacing w:after="0"/>
        <w:ind w:left="426"/>
        <w:jc w:val="both"/>
        <w:rPr>
          <w:rFonts w:ascii="Arial" w:cs="Arial" w:eastAsia="Times New Roman" w:hAnsi="Arial"/>
          <w:color w:val="000000"/>
          <w:lang w:eastAsia="es-CO"/>
        </w:rPr>
      </w:pPr>
    </w:p>
    <w:p>
      <w:pPr>
        <w:pStyle w:val="style179"/>
        <w:numPr>
          <w:ilvl w:val="0"/>
          <w:numId w:val="4"/>
        </w:numPr>
        <w:spacing w:after="0"/>
        <w:ind w:left="426"/>
        <w:jc w:val="both"/>
        <w:rPr>
          <w:rFonts w:ascii="Arial" w:cs="Arial" w:hAnsi="Arial"/>
          <w:color w:val="000000"/>
          <w:shd w:val="clear" w:color="auto" w:fill="ffffff"/>
        </w:rPr>
      </w:pPr>
      <w:r>
        <w:rPr>
          <w:rFonts w:ascii="Arial" w:cs="Arial" w:eastAsia="Times New Roman" w:hAnsi="Arial"/>
          <w:b/>
          <w:color w:val="000000"/>
          <w:lang w:eastAsia="es-CO"/>
        </w:rPr>
        <w:t>Gestión Documental:</w:t>
      </w:r>
      <w:r>
        <w:rPr>
          <w:rFonts w:ascii="Arial" w:cs="Arial" w:eastAsia="Times New Roman" w:hAnsi="Arial"/>
          <w:color w:val="000000"/>
          <w:lang w:eastAsia="es-CO"/>
        </w:rPr>
        <w:t xml:space="preserve"> </w:t>
      </w:r>
      <w:r>
        <w:rPr>
          <w:rFonts w:ascii="Arial" w:cs="Arial" w:hAnsi="Arial"/>
          <w:color w:val="000000"/>
          <w:shd w:val="clear" w:color="auto" w:fill="ffffff"/>
        </w:rPr>
        <w:t xml:space="preserve">Administración, custodia y conservación de los documentos, así como las capacitaciones y control de la gestión documental de la Alcaldía Local </w:t>
      </w:r>
    </w:p>
    <w:p>
      <w:pPr>
        <w:pStyle w:val="style0"/>
        <w:spacing w:after="0"/>
        <w:ind w:left="426"/>
        <w:jc w:val="both"/>
        <w:rPr>
          <w:rFonts w:ascii="Arial" w:cs="Arial" w:hAnsi="Arial"/>
          <w:color w:val="000000"/>
          <w:shd w:val="clear" w:color="auto" w:fill="ffffff"/>
        </w:rPr>
      </w:pPr>
    </w:p>
    <w:p>
      <w:pPr>
        <w:pStyle w:val="style179"/>
        <w:numPr>
          <w:ilvl w:val="0"/>
          <w:numId w:val="4"/>
        </w:numPr>
        <w:spacing w:after="0"/>
        <w:ind w:left="426"/>
        <w:jc w:val="both"/>
        <w:rPr>
          <w:rFonts w:ascii="Arial" w:cs="Arial" w:hAnsi="Arial"/>
          <w:color w:val="000000"/>
          <w:shd w:val="clear" w:color="auto" w:fill="ffffff"/>
        </w:rPr>
      </w:pPr>
      <w:r>
        <w:rPr>
          <w:rFonts w:ascii="Arial" w:cs="Arial" w:hAnsi="Arial"/>
          <w:b/>
          <w:color w:val="000000"/>
          <w:shd w:val="clear" w:color="auto" w:fill="ffffff"/>
        </w:rPr>
        <w:t>Sistemas:</w:t>
      </w:r>
      <w:r>
        <w:rPr>
          <w:rFonts w:ascii="Arial" w:cs="Arial" w:hAnsi="Arial"/>
          <w:color w:val="000000"/>
          <w:shd w:val="clear" w:color="auto" w:fill="ffffff"/>
        </w:rPr>
        <w:t xml:space="preserve"> Administración de red, local de voz, datos de recurso tecnológico que requiere la Alcaldía Local.</w:t>
      </w:r>
    </w:p>
    <w:p>
      <w:pPr>
        <w:pStyle w:val="style0"/>
        <w:spacing w:after="0"/>
        <w:ind w:left="426"/>
        <w:jc w:val="both"/>
        <w:rPr>
          <w:rFonts w:ascii="Arial" w:cs="Arial" w:hAnsi="Arial"/>
          <w:b/>
          <w:color w:val="000000"/>
          <w:shd w:val="clear" w:color="auto" w:fill="ffffff"/>
        </w:rPr>
      </w:pPr>
    </w:p>
    <w:p>
      <w:pPr>
        <w:pStyle w:val="style179"/>
        <w:numPr>
          <w:ilvl w:val="0"/>
          <w:numId w:val="4"/>
        </w:numPr>
        <w:spacing w:after="0"/>
        <w:ind w:left="426"/>
        <w:jc w:val="both"/>
        <w:rPr>
          <w:rFonts w:ascii="Arial" w:cs="Arial" w:eastAsia="Times New Roman" w:hAnsi="Arial"/>
          <w:color w:val="000000"/>
          <w:lang w:eastAsia="es-CO"/>
        </w:rPr>
      </w:pPr>
      <w:r>
        <w:rPr>
          <w:rFonts w:ascii="Arial" w:cs="Arial" w:hAnsi="Arial"/>
          <w:b/>
          <w:color w:val="000000"/>
          <w:shd w:val="clear" w:color="auto" w:fill="ffffff"/>
        </w:rPr>
        <w:t>Calidad:</w:t>
      </w:r>
      <w:r>
        <w:rPr>
          <w:rFonts w:ascii="Arial" w:cs="Arial" w:hAnsi="Arial"/>
          <w:color w:val="000000"/>
          <w:shd w:val="clear" w:color="auto" w:fill="ffffff"/>
        </w:rPr>
        <w:t xml:space="preserve"> </w:t>
      </w:r>
      <w:r>
        <w:rPr>
          <w:rFonts w:ascii="Arial" w:cs="Arial" w:eastAsia="Times New Roman" w:hAnsi="Arial"/>
          <w:color w:val="000000"/>
          <w:lang w:eastAsia="es-CO"/>
        </w:rPr>
        <w:t>Apoyar técnicamente a los responsables e integrantes de los procesos en la implementación de herramientas de gestión, siguiendo los lineamientos metodológicos establecidos por la Oficina Asesora de Planeación de la Secretaría Distrital de Gobierno.</w:t>
      </w:r>
    </w:p>
    <w:p>
      <w:pPr>
        <w:pStyle w:val="style0"/>
        <w:spacing w:after="0"/>
        <w:ind w:left="426"/>
        <w:jc w:val="both"/>
        <w:rPr>
          <w:rFonts w:ascii="Arial" w:cs="Arial" w:eastAsia="Times New Roman" w:hAnsi="Arial"/>
          <w:color w:val="000000"/>
          <w:lang w:eastAsia="es-CO"/>
        </w:rPr>
      </w:pPr>
    </w:p>
    <w:p>
      <w:pPr>
        <w:pStyle w:val="style179"/>
        <w:numPr>
          <w:ilvl w:val="0"/>
          <w:numId w:val="4"/>
        </w:numPr>
        <w:spacing w:after="0"/>
        <w:ind w:left="426"/>
        <w:jc w:val="both"/>
        <w:rPr>
          <w:rFonts w:ascii="Arial" w:cs="Arial" w:hAnsi="Arial"/>
          <w:color w:val="000000"/>
          <w:shd w:val="clear" w:color="auto" w:fill="ffffff"/>
        </w:rPr>
      </w:pPr>
      <w:r>
        <w:rPr>
          <w:rFonts w:ascii="Arial" w:cs="Arial" w:hAnsi="Arial"/>
          <w:b/>
          <w:color w:val="000000"/>
          <w:shd w:val="clear" w:color="auto" w:fill="ffffff"/>
        </w:rPr>
        <w:t>Gestión Ambiental:</w:t>
      </w:r>
      <w:r>
        <w:rPr>
          <w:rFonts w:ascii="Arial" w:cs="Arial" w:hAnsi="Arial"/>
          <w:color w:val="000000"/>
          <w:shd w:val="clear" w:color="auto" w:fill="ffffff"/>
        </w:rPr>
        <w:t xml:space="preserve"> Ejercer acciones policivas de inspección, vigilancia, acciones pedagogías y sensibilización en temas ambientales, coordinar operativos del recurso hídrico, imponer comparendos ambientales visitar establecimientos de comercio, así mismo coordinar con las entidades locales</w:t>
      </w:r>
      <w:r>
        <w:rPr>
          <w:rFonts w:ascii="Arial" w:cs="Arial" w:hAnsi="Arial"/>
          <w:color w:val="000000"/>
          <w:shd w:val="clear" w:color="auto" w:fill="ffffff"/>
        </w:rPr>
        <w:t>,</w:t>
      </w:r>
      <w:r>
        <w:rPr>
          <w:rFonts w:ascii="Arial" w:cs="Arial" w:hAnsi="Arial"/>
          <w:color w:val="000000"/>
          <w:shd w:val="clear" w:color="auto" w:fill="ffffff"/>
        </w:rPr>
        <w:t xml:space="preserve"> </w:t>
      </w:r>
      <w:r>
        <w:rPr>
          <w:rFonts w:ascii="Arial" w:cs="Arial" w:hAnsi="Arial"/>
          <w:color w:val="000000"/>
          <w:shd w:val="clear" w:color="auto" w:fill="ffffff"/>
        </w:rPr>
        <w:t>d</w:t>
      </w:r>
      <w:r>
        <w:rPr>
          <w:rFonts w:ascii="Arial" w:cs="Arial" w:hAnsi="Arial"/>
          <w:color w:val="000000"/>
          <w:shd w:val="clear" w:color="auto" w:fill="ffffff"/>
        </w:rPr>
        <w:t xml:space="preserve">istritales y </w:t>
      </w:r>
      <w:r>
        <w:rPr>
          <w:rFonts w:ascii="Arial" w:cs="Arial" w:hAnsi="Arial"/>
          <w:color w:val="000000"/>
          <w:shd w:val="clear" w:color="auto" w:fill="ffffff"/>
        </w:rPr>
        <w:t>n</w:t>
      </w:r>
      <w:r>
        <w:rPr>
          <w:rFonts w:ascii="Arial" w:cs="Arial" w:hAnsi="Arial"/>
          <w:color w:val="000000"/>
          <w:shd w:val="clear" w:color="auto" w:fill="ffffff"/>
        </w:rPr>
        <w:t xml:space="preserve">acionales operativos y acciones de control en materia </w:t>
      </w:r>
      <w:r>
        <w:rPr>
          <w:rFonts w:ascii="Arial" w:cs="Arial" w:hAnsi="Arial"/>
          <w:color w:val="000000"/>
          <w:shd w:val="clear" w:color="auto" w:fill="ffffff"/>
        </w:rPr>
        <w:t xml:space="preserve">de </w:t>
      </w:r>
      <w:r>
        <w:rPr>
          <w:rFonts w:ascii="Arial" w:cs="Arial" w:hAnsi="Arial"/>
          <w:color w:val="000000"/>
          <w:shd w:val="clear" w:color="auto" w:fill="ffffff"/>
        </w:rPr>
        <w:t>residuos sólidos, manejo responsable de mascotas, control e información sobre escombros y temas de ruido.</w:t>
      </w:r>
    </w:p>
    <w:p>
      <w:pPr>
        <w:pStyle w:val="style0"/>
        <w:spacing w:after="0"/>
        <w:ind w:left="426"/>
        <w:jc w:val="both"/>
        <w:rPr>
          <w:rFonts w:ascii="Arial" w:cs="Arial" w:eastAsia="Times New Roman" w:hAnsi="Arial"/>
          <w:color w:val="000000"/>
          <w:lang w:eastAsia="es-CO"/>
        </w:rPr>
      </w:pPr>
    </w:p>
    <w:p>
      <w:pPr>
        <w:pStyle w:val="style179"/>
        <w:numPr>
          <w:ilvl w:val="0"/>
          <w:numId w:val="4"/>
        </w:numPr>
        <w:spacing w:after="0"/>
        <w:ind w:left="426"/>
        <w:jc w:val="both"/>
        <w:rPr>
          <w:rFonts w:ascii="Arial" w:cs="Arial" w:hAnsi="Arial"/>
          <w:color w:val="000000"/>
          <w:shd w:val="clear" w:color="auto" w:fill="ffffff"/>
        </w:rPr>
      </w:pPr>
      <w:r>
        <w:rPr>
          <w:rFonts w:ascii="Arial" w:cs="Arial" w:hAnsi="Arial"/>
          <w:b/>
          <w:color w:val="000000"/>
          <w:shd w:val="clear" w:color="auto" w:fill="ffffff"/>
        </w:rPr>
        <w:t>Contratación:</w:t>
      </w:r>
      <w:r>
        <w:rPr>
          <w:rFonts w:ascii="Arial" w:cs="Arial" w:hAnsi="Arial"/>
          <w:color w:val="000000"/>
          <w:shd w:val="clear" w:color="auto" w:fill="ffffff"/>
        </w:rPr>
        <w:t xml:space="preserve"> Suscripción y liquidación de contratos, certificaciones contractuales, aprobaciones de pólizas, terminaciones anticipadas, designación de apoyo a la supervisión.</w:t>
      </w:r>
    </w:p>
    <w:p>
      <w:pPr>
        <w:pStyle w:val="style0"/>
        <w:spacing w:after="0"/>
        <w:ind w:left="426"/>
        <w:jc w:val="both"/>
        <w:rPr>
          <w:rFonts w:ascii="Arial" w:cs="Arial" w:hAnsi="Arial"/>
          <w:color w:val="000000"/>
          <w:shd w:val="clear" w:color="auto" w:fill="ffffff"/>
        </w:rPr>
      </w:pPr>
    </w:p>
    <w:p>
      <w:pPr>
        <w:pStyle w:val="style179"/>
        <w:numPr>
          <w:ilvl w:val="0"/>
          <w:numId w:val="4"/>
        </w:numPr>
        <w:spacing w:after="0"/>
        <w:ind w:left="426"/>
        <w:jc w:val="both"/>
        <w:rPr>
          <w:rFonts w:ascii="Arial" w:cs="Arial" w:hAnsi="Arial"/>
          <w:color w:val="000000"/>
          <w:shd w:val="clear" w:color="auto" w:fill="ffffff"/>
        </w:rPr>
      </w:pPr>
      <w:r>
        <w:rPr>
          <w:rFonts w:ascii="Arial" w:cs="Arial" w:hAnsi="Arial"/>
          <w:b/>
          <w:color w:val="000000"/>
          <w:shd w:val="clear" w:color="auto" w:fill="ffffff"/>
        </w:rPr>
        <w:t xml:space="preserve">Atención a la ciudadanía: </w:t>
      </w:r>
      <w:r>
        <w:rPr>
          <w:rFonts w:ascii="Arial" w:cs="Arial" w:hAnsi="Arial"/>
          <w:color w:val="000000"/>
          <w:shd w:val="clear" w:color="auto" w:fill="ffffff"/>
        </w:rPr>
        <w:t>Encargada de recepcionar los requerimientos, solicitudes de información, trámites y servicios de la ciudadanía, niños, niñas, adolescentes y extranjeros/as que residen no solo en la localidad sino en Bogotá, D.C, desde el aplicativo Sistema Distrital de Quejas y Soluciones – SDQS.</w:t>
      </w:r>
    </w:p>
    <w:p>
      <w:pPr>
        <w:pStyle w:val="style179"/>
        <w:rPr>
          <w:rFonts w:ascii="Arial" w:cs="Arial" w:hAnsi="Arial"/>
          <w:color w:val="000000"/>
          <w:shd w:val="clear" w:color="auto" w:fill="ffffff"/>
        </w:rPr>
      </w:pPr>
    </w:p>
    <w:p>
      <w:pPr>
        <w:pStyle w:val="style179"/>
        <w:spacing w:after="0"/>
        <w:ind w:left="426"/>
        <w:jc w:val="both"/>
        <w:rPr>
          <w:rFonts w:ascii="Arial" w:cs="Arial" w:hAnsi="Arial"/>
          <w:color w:val="000000"/>
          <w:shd w:val="clear" w:color="auto" w:fill="ffffff"/>
        </w:rPr>
      </w:pPr>
    </w:p>
    <w:p>
      <w:pPr>
        <w:pStyle w:val="style0"/>
        <w:spacing w:after="0"/>
        <w:jc w:val="both"/>
        <w:rPr>
          <w:rFonts w:ascii="Arial" w:cs="Arial" w:hAnsi="Arial"/>
          <w:b/>
          <w:color w:val="000000"/>
          <w:shd w:val="clear" w:color="auto" w:fill="ffffff"/>
        </w:rPr>
      </w:pPr>
      <w:r>
        <w:rPr>
          <w:rFonts w:ascii="Arial" w:cs="Arial" w:hAnsi="Arial"/>
          <w:b/>
          <w:color w:val="000000"/>
          <w:shd w:val="clear" w:color="auto" w:fill="ffffff"/>
        </w:rPr>
        <w:t>ÁREA DE GESTIÓN POLICIVA</w:t>
      </w:r>
    </w:p>
    <w:p>
      <w:pPr>
        <w:pStyle w:val="style0"/>
        <w:spacing w:after="0"/>
        <w:jc w:val="both"/>
        <w:rPr>
          <w:rFonts w:ascii="Arial" w:cs="Arial" w:hAnsi="Arial"/>
          <w:color w:val="000000"/>
          <w:shd w:val="clear" w:color="auto" w:fill="ffffff"/>
        </w:rPr>
      </w:pPr>
    </w:p>
    <w:p>
      <w:pPr>
        <w:pStyle w:val="style0"/>
        <w:spacing w:after="0"/>
        <w:jc w:val="both"/>
        <w:rPr>
          <w:rFonts w:ascii="Arial" w:cs="Arial" w:hAnsi="Arial"/>
          <w:color w:val="000000"/>
          <w:shd w:val="clear" w:color="auto" w:fill="ffffff"/>
        </w:rPr>
      </w:pPr>
      <w:r>
        <w:rPr>
          <w:rFonts w:ascii="Arial" w:cs="Arial" w:hAnsi="Arial"/>
          <w:color w:val="000000"/>
          <w:shd w:val="clear" w:color="auto" w:fill="ffffff"/>
        </w:rPr>
        <w:t>Su objetivo es ejercer inspección, vigilancia y control respecto al cumplimiento de las normas vigentes por parte de la ciudadanía, en materia de control policivo relacionado con establecimientos de comercio, espacio público, obras y urbanismo, atendiendo también la orientación y el trámite de asuntos jurídicos en materia de gestión policiva de su competencia.</w:t>
      </w:r>
    </w:p>
    <w:p>
      <w:pPr>
        <w:pStyle w:val="style0"/>
        <w:spacing w:after="0"/>
        <w:jc w:val="both"/>
        <w:rPr>
          <w:rFonts w:ascii="Arial" w:cs="Arial" w:hAnsi="Arial"/>
          <w:color w:val="000000"/>
          <w:shd w:val="clear" w:color="auto" w:fill="ffffff"/>
        </w:rPr>
      </w:pPr>
    </w:p>
    <w:p>
      <w:pPr>
        <w:pStyle w:val="style0"/>
        <w:spacing w:after="0"/>
        <w:jc w:val="both"/>
        <w:rPr>
          <w:rFonts w:ascii="Arial" w:cs="Arial" w:hAnsi="Arial"/>
          <w:b/>
          <w:color w:val="000000"/>
          <w:shd w:val="clear" w:color="auto" w:fill="ffffff"/>
        </w:rPr>
      </w:pPr>
      <w:r>
        <w:rPr>
          <w:rFonts w:ascii="Arial" w:cs="Arial" w:hAnsi="Arial"/>
          <w:b/>
          <w:color w:val="000000"/>
          <w:shd w:val="clear" w:color="auto" w:fill="ffffff"/>
        </w:rPr>
        <w:t xml:space="preserve">Inspección de Policía y </w:t>
      </w:r>
      <w:r>
        <w:rPr>
          <w:rFonts w:ascii="Arial" w:cs="Arial" w:hAnsi="Arial"/>
          <w:b/>
          <w:color w:val="000000"/>
          <w:shd w:val="clear" w:color="auto" w:fill="ffffff"/>
        </w:rPr>
        <w:t>J</w:t>
      </w:r>
      <w:r>
        <w:rPr>
          <w:rFonts w:ascii="Arial" w:cs="Arial" w:hAnsi="Arial"/>
          <w:b/>
          <w:color w:val="000000"/>
          <w:shd w:val="clear" w:color="auto" w:fill="ffffff"/>
        </w:rPr>
        <w:t>urídica</w:t>
      </w:r>
    </w:p>
    <w:p>
      <w:pPr>
        <w:pStyle w:val="style0"/>
        <w:spacing w:after="0"/>
        <w:jc w:val="both"/>
        <w:rPr>
          <w:rFonts w:ascii="Arial" w:cs="Arial" w:hAnsi="Arial"/>
          <w:color w:val="000000"/>
          <w:shd w:val="clear" w:color="auto" w:fill="ffffff"/>
        </w:rPr>
      </w:pPr>
    </w:p>
    <w:p>
      <w:pPr>
        <w:pStyle w:val="style0"/>
        <w:spacing w:after="0"/>
        <w:jc w:val="both"/>
        <w:rPr>
          <w:rFonts w:ascii="Arial" w:cs="Arial" w:hAnsi="Arial"/>
          <w:color w:val="000000"/>
          <w:shd w:val="clear" w:color="auto" w:fill="ffffff"/>
        </w:rPr>
      </w:pPr>
      <w:r>
        <w:rPr>
          <w:rFonts w:ascii="Arial" w:cs="Arial" w:hAnsi="Arial"/>
          <w:color w:val="000000"/>
          <w:shd w:val="clear" w:color="auto" w:fill="ffffff"/>
        </w:rPr>
        <w:t>Con la aplicación de la Ley 1801 del 2016 Código Nacional de Seguridad y Convivencia Ciudadana, la inspección conocerá comportamientos contrarios a la convivencia ciudadana que afecten las condiciones de seguridad, tranquilidad, salubridad y moralidad pública, ornato públic</w:t>
      </w:r>
      <w:r>
        <w:rPr>
          <w:rFonts w:ascii="Arial" w:cs="Arial" w:hAnsi="Arial"/>
          <w:color w:val="000000"/>
          <w:shd w:val="clear" w:color="auto" w:fill="ffffff"/>
        </w:rPr>
        <w:t>o</w:t>
      </w:r>
      <w:r>
        <w:rPr>
          <w:rFonts w:ascii="Arial" w:cs="Arial" w:hAnsi="Arial"/>
          <w:color w:val="000000"/>
          <w:shd w:val="clear" w:color="auto" w:fill="ffffff"/>
        </w:rPr>
        <w:t xml:space="preserve"> y ecología, con transparencia, celeridad, economía, imparcialidad y eficiencia.</w:t>
      </w:r>
    </w:p>
    <w:p>
      <w:pPr>
        <w:pStyle w:val="style0"/>
        <w:spacing w:after="0"/>
        <w:jc w:val="both"/>
        <w:rPr>
          <w:rFonts w:ascii="Arial" w:cs="Arial" w:hAnsi="Arial"/>
          <w:color w:val="000000"/>
          <w:shd w:val="clear" w:color="auto" w:fill="ffffff"/>
        </w:rPr>
      </w:pPr>
    </w:p>
    <w:p>
      <w:pPr>
        <w:pStyle w:val="style0"/>
        <w:spacing w:after="0"/>
        <w:jc w:val="both"/>
        <w:rPr>
          <w:rFonts w:ascii="Arial" w:cs="Arial" w:hAnsi="Arial"/>
          <w:color w:val="000000"/>
          <w:shd w:val="clear" w:color="auto" w:fill="ffffff"/>
        </w:rPr>
      </w:pPr>
      <w:r>
        <w:rPr>
          <w:rFonts w:ascii="Arial" w:cs="Arial" w:hAnsi="Arial"/>
          <w:color w:val="000000"/>
          <w:shd w:val="clear" w:color="auto" w:fill="ffffff"/>
        </w:rPr>
        <w:t xml:space="preserve">La Alcaldía Local de La Candelaria, también cuenta con cuatro </w:t>
      </w:r>
      <w:r>
        <w:rPr>
          <w:rFonts w:ascii="Arial" w:cs="Arial" w:hAnsi="Arial"/>
          <w:b/>
          <w:color w:val="000000"/>
          <w:shd w:val="clear" w:color="auto" w:fill="ffffff"/>
        </w:rPr>
        <w:t xml:space="preserve">CASAS COMUNITARIAS </w:t>
      </w:r>
      <w:r>
        <w:rPr>
          <w:rFonts w:ascii="Arial" w:cs="Arial" w:hAnsi="Arial"/>
          <w:color w:val="000000"/>
          <w:shd w:val="clear" w:color="auto" w:fill="ffffff"/>
        </w:rPr>
        <w:t>ubicadas en distintos puntos de la localidad, constituidas como espacios de encuentro de la comunidad, donde se desarrollan proyectos de inversión y actividades por gestión en beneficio de la población. Cada casa tiene una dotación diversa para contribuir con la calidad de vida de los Candelarios y Candelarias.</w:t>
      </w:r>
    </w:p>
    <w:p>
      <w:pPr>
        <w:pStyle w:val="style0"/>
        <w:spacing w:after="0"/>
        <w:jc w:val="both"/>
        <w:rPr>
          <w:rFonts w:ascii="Arial" w:cs="Arial" w:hAnsi="Arial"/>
          <w:color w:val="000000"/>
          <w:shd w:val="clear" w:color="auto" w:fill="ffffff"/>
        </w:rPr>
      </w:pPr>
    </w:p>
    <w:p>
      <w:pPr>
        <w:pStyle w:val="style0"/>
        <w:spacing w:after="0"/>
        <w:jc w:val="both"/>
        <w:rPr>
          <w:rFonts w:ascii="robotoregular" w:hAnsi="robotoregular"/>
          <w:color w:val="777777"/>
          <w:sz w:val="21"/>
          <w:szCs w:val="21"/>
          <w:shd w:val="clear" w:color="auto" w:fill="ffffff"/>
        </w:rPr>
      </w:pPr>
      <w:r>
        <w:rPr>
          <w:rFonts w:ascii="Arial" w:cs="Arial" w:hAnsi="Arial"/>
          <w:color w:val="000000"/>
          <w:shd w:val="clear" w:color="auto" w:fill="ffffff"/>
        </w:rPr>
        <w:t>Además de la contratación del personal necesario para la operación de cada una de las áreas, en aquellos casos donde el riesgo laboral es de nivel IV y V, la Alcaldía Local realiza el pago de los aportes a la Administradora de Riesgos Laborales -ARL-.</w:t>
      </w:r>
    </w:p>
    <w:p>
      <w:pPr>
        <w:pStyle w:val="style0"/>
        <w:rPr>
          <w:rFonts w:ascii="robotoregular" w:hAnsi="robotoregular"/>
          <w:color w:val="777777"/>
          <w:sz w:val="21"/>
          <w:szCs w:val="21"/>
          <w:shd w:val="clear" w:color="auto" w:fill="ffffff"/>
        </w:rPr>
      </w:pPr>
    </w:p>
    <w:p>
      <w:pPr>
        <w:pStyle w:val="style0"/>
        <w:rPr>
          <w:rFonts w:ascii="Arial" w:cs="Arial" w:hAnsi="Arial"/>
          <w:lang w:val="es-MX"/>
        </w:rPr>
      </w:pPr>
      <w:r>
        <w:rPr>
          <w:rFonts w:ascii="Arial" w:cs="Arial" w:hAnsi="Arial"/>
          <w:lang w:val="es-MX"/>
        </w:rPr>
        <w:t>• Infraestructura tecnológica.</w:t>
      </w:r>
    </w:p>
    <w:p>
      <w:pPr>
        <w:pStyle w:val="style0"/>
        <w:jc w:val="both"/>
        <w:rPr>
          <w:rFonts w:ascii="Arial" w:cs="Arial" w:hAnsi="Arial"/>
          <w:lang w:val="es-MX"/>
        </w:rPr>
      </w:pPr>
      <w:r>
        <w:rPr>
          <w:rFonts w:ascii="Arial" w:cs="Arial" w:hAnsi="Arial"/>
          <w:color w:val="000000"/>
          <w:bdr w:val="none" w:sz="0" w:space="0" w:color="auto" w:frame="true"/>
          <w:shd w:val="clear" w:color="auto" w:fill="ffffff"/>
          <w:lang w:val="es-MX"/>
        </w:rPr>
        <w:t>De acuerdo con el análisis de necesidades desde el área de sistemas, la sede central de la Alcaldía Local de La Candelaria, la Junta Administradora Local, las casas comunitarias</w:t>
      </w:r>
      <w:r>
        <w:rPr>
          <w:rFonts w:ascii="Arial" w:cs="Arial" w:hAnsi="Arial"/>
          <w:color w:val="000000"/>
          <w:bdr w:val="none" w:sz="0" w:space="0" w:color="auto" w:frame="true"/>
          <w:shd w:val="clear" w:color="auto" w:fill="ffffff"/>
          <w:lang w:val="es-MX"/>
        </w:rPr>
        <w:t xml:space="preserve"> y</w:t>
      </w:r>
      <w:r>
        <w:rPr>
          <w:rFonts w:ascii="Arial" w:cs="Arial" w:hAnsi="Arial"/>
          <w:color w:val="000000"/>
          <w:bdr w:val="none" w:sz="0" w:space="0" w:color="auto" w:frame="true"/>
          <w:shd w:val="clear" w:color="auto" w:fill="ffffff"/>
          <w:lang w:val="es-MX"/>
        </w:rPr>
        <w:t xml:space="preserve"> la </w:t>
      </w:r>
      <w:r>
        <w:rPr>
          <w:rFonts w:ascii="Arial" w:cs="Arial" w:hAnsi="Arial"/>
          <w:color w:val="000000"/>
          <w:bdr w:val="none" w:sz="0" w:space="0" w:color="auto" w:frame="true"/>
          <w:shd w:val="clear" w:color="auto" w:fill="ffffff"/>
          <w:lang w:val="es-MX"/>
        </w:rPr>
        <w:t>I</w:t>
      </w:r>
      <w:r>
        <w:rPr>
          <w:rFonts w:ascii="Arial" w:cs="Arial" w:hAnsi="Arial"/>
          <w:color w:val="000000"/>
          <w:bdr w:val="none" w:sz="0" w:space="0" w:color="auto" w:frame="true"/>
          <w:shd w:val="clear" w:color="auto" w:fill="ffffff"/>
          <w:lang w:val="es-MX"/>
        </w:rPr>
        <w:t xml:space="preserve">nspección de </w:t>
      </w:r>
      <w:r>
        <w:rPr>
          <w:rFonts w:ascii="Arial" w:cs="Arial" w:hAnsi="Arial"/>
          <w:color w:val="000000"/>
          <w:bdr w:val="none" w:sz="0" w:space="0" w:color="auto" w:frame="true"/>
          <w:shd w:val="clear" w:color="auto" w:fill="ffffff"/>
          <w:lang w:val="es-MX"/>
        </w:rPr>
        <w:t>P</w:t>
      </w:r>
      <w:r>
        <w:rPr>
          <w:rFonts w:ascii="Arial" w:cs="Arial" w:hAnsi="Arial"/>
          <w:color w:val="000000"/>
          <w:bdr w:val="none" w:sz="0" w:space="0" w:color="auto" w:frame="true"/>
          <w:shd w:val="clear" w:color="auto" w:fill="ffffff"/>
          <w:lang w:val="es-MX"/>
        </w:rPr>
        <w:t>olicía requieren para modernizar su infraestructura tecnológica, las siguientes acciones: </w:t>
      </w:r>
    </w:p>
    <w:p>
      <w:pPr>
        <w:pStyle w:val="style0"/>
        <w:numPr>
          <w:ilvl w:val="0"/>
          <w:numId w:val="6"/>
        </w:numPr>
        <w:shd w:val="clear" w:color="auto" w:fill="ffffff"/>
        <w:spacing w:beforeAutospacing="true" w:after="0" w:afterAutospacing="true" w:lineRule="auto" w:line="240"/>
        <w:rPr>
          <w:rFonts w:ascii="Calibri" w:cs="Calibri" w:eastAsia="Times New Roman" w:hAnsi="Calibri"/>
          <w:color w:val="000000"/>
          <w:sz w:val="24"/>
          <w:szCs w:val="24"/>
          <w:lang w:eastAsia="es-CO"/>
        </w:rPr>
      </w:pPr>
      <w:r>
        <w:rPr>
          <w:rFonts w:ascii="Arial" w:cs="Arial" w:eastAsia="Times New Roman" w:hAnsi="Arial"/>
          <w:color w:val="000000"/>
          <w:bdr w:val="none" w:sz="0" w:space="0" w:color="auto" w:frame="true"/>
          <w:lang w:eastAsia="es-CO"/>
        </w:rPr>
        <w:t>Fomentar la innovación y el cambio tecnológico</w:t>
      </w:r>
      <w:r>
        <w:rPr>
          <w:rFonts w:ascii="Calibri" w:cs="Calibri" w:eastAsia="Times New Roman" w:hAnsi="Calibri"/>
          <w:color w:val="000000"/>
          <w:sz w:val="24"/>
          <w:szCs w:val="24"/>
          <w:bdr w:val="none" w:sz="0" w:space="0" w:color="auto" w:frame="true"/>
          <w:lang w:eastAsia="es-CO"/>
        </w:rPr>
        <w:t> </w:t>
      </w:r>
      <w:r>
        <w:rPr>
          <w:rFonts w:ascii="Calibri" w:cs="Calibri" w:eastAsia="Times New Roman" w:hAnsi="Calibri"/>
          <w:color w:val="000000"/>
          <w:bdr w:val="none" w:sz="0" w:space="0" w:color="auto" w:frame="true"/>
          <w:lang w:eastAsia="es-CO"/>
        </w:rPr>
        <w:t> </w:t>
      </w:r>
    </w:p>
    <w:p>
      <w:pPr>
        <w:pStyle w:val="style0"/>
        <w:numPr>
          <w:ilvl w:val="0"/>
          <w:numId w:val="6"/>
        </w:numPr>
        <w:shd w:val="clear" w:color="auto" w:fill="ffffff"/>
        <w:spacing w:beforeAutospacing="true" w:after="0" w:afterAutospacing="true" w:lineRule="auto" w:line="240"/>
        <w:rPr>
          <w:rFonts w:ascii="Calibri" w:cs="Calibri" w:eastAsia="Times New Roman" w:hAnsi="Calibri"/>
          <w:color w:val="000000"/>
          <w:sz w:val="24"/>
          <w:szCs w:val="24"/>
          <w:lang w:eastAsia="es-CO"/>
        </w:rPr>
      </w:pPr>
      <w:r>
        <w:rPr>
          <w:rFonts w:ascii="Arial" w:cs="Arial" w:eastAsia="Times New Roman" w:hAnsi="Arial"/>
          <w:color w:val="000000"/>
          <w:bdr w:val="none" w:sz="0" w:space="0" w:color="auto" w:frame="true"/>
          <w:lang w:eastAsia="es-CO"/>
        </w:rPr>
        <w:t>Ofrecer soluciones flexibles, dinámicas, a medida y escalables </w:t>
      </w:r>
      <w:r>
        <w:rPr>
          <w:rFonts w:ascii="Calibri" w:cs="Calibri" w:eastAsia="Times New Roman" w:hAnsi="Calibri"/>
          <w:color w:val="000000"/>
          <w:bdr w:val="none" w:sz="0" w:space="0" w:color="auto" w:frame="true"/>
          <w:lang w:eastAsia="es-CO"/>
        </w:rPr>
        <w:t> </w:t>
      </w:r>
    </w:p>
    <w:p>
      <w:pPr>
        <w:pStyle w:val="style0"/>
        <w:numPr>
          <w:ilvl w:val="0"/>
          <w:numId w:val="6"/>
        </w:numPr>
        <w:shd w:val="clear" w:color="auto" w:fill="ffffff"/>
        <w:spacing w:beforeAutospacing="true" w:after="0" w:afterAutospacing="true" w:lineRule="auto" w:line="240"/>
        <w:rPr>
          <w:rFonts w:ascii="Calibri" w:cs="Calibri" w:eastAsia="Times New Roman" w:hAnsi="Calibri"/>
          <w:color w:val="000000"/>
          <w:sz w:val="24"/>
          <w:szCs w:val="24"/>
          <w:lang w:eastAsia="es-CO"/>
        </w:rPr>
      </w:pPr>
      <w:r>
        <w:rPr>
          <w:rFonts w:ascii="Arial" w:cs="Arial" w:eastAsia="Times New Roman" w:hAnsi="Arial"/>
          <w:color w:val="000000"/>
          <w:bdr w:val="none" w:sz="0" w:space="0" w:color="auto" w:frame="true"/>
          <w:lang w:eastAsia="es-CO"/>
        </w:rPr>
        <w:t>Dotar el FDLC en software y hardware para el teletrabajo </w:t>
      </w:r>
      <w:r>
        <w:rPr>
          <w:rFonts w:ascii="Calibri" w:cs="Calibri" w:eastAsia="Times New Roman" w:hAnsi="Calibri"/>
          <w:color w:val="000000"/>
          <w:bdr w:val="none" w:sz="0" w:space="0" w:color="auto" w:frame="true"/>
          <w:lang w:eastAsia="es-CO"/>
        </w:rPr>
        <w:t> </w:t>
      </w:r>
    </w:p>
    <w:p>
      <w:pPr>
        <w:pStyle w:val="style0"/>
        <w:numPr>
          <w:ilvl w:val="0"/>
          <w:numId w:val="6"/>
        </w:numPr>
        <w:shd w:val="clear" w:color="auto" w:fill="ffffff"/>
        <w:spacing w:beforeAutospacing="true" w:after="0" w:afterAutospacing="true" w:lineRule="auto" w:line="240"/>
        <w:rPr>
          <w:rFonts w:ascii="Calibri" w:cs="Calibri" w:eastAsia="Times New Roman" w:hAnsi="Calibri"/>
          <w:color w:val="000000"/>
          <w:sz w:val="24"/>
          <w:szCs w:val="24"/>
          <w:lang w:eastAsia="es-CO"/>
        </w:rPr>
      </w:pPr>
      <w:r>
        <w:rPr>
          <w:rFonts w:ascii="Arial" w:cs="Arial" w:eastAsia="Times New Roman" w:hAnsi="Arial"/>
          <w:color w:val="000000"/>
          <w:bdr w:val="none" w:sz="0" w:space="0" w:color="auto" w:frame="true"/>
          <w:lang w:eastAsia="es-CO"/>
        </w:rPr>
        <w:t>Mejorar conectividad   </w:t>
      </w:r>
      <w:r>
        <w:rPr>
          <w:rFonts w:ascii="Calibri" w:cs="Calibri" w:eastAsia="Times New Roman" w:hAnsi="Calibri"/>
          <w:color w:val="000000"/>
          <w:bdr w:val="none" w:sz="0" w:space="0" w:color="auto" w:frame="true"/>
          <w:lang w:eastAsia="es-CO"/>
        </w:rPr>
        <w:t> </w:t>
      </w:r>
    </w:p>
    <w:p>
      <w:pPr>
        <w:pStyle w:val="style0"/>
        <w:numPr>
          <w:ilvl w:val="0"/>
          <w:numId w:val="6"/>
        </w:numPr>
        <w:shd w:val="clear" w:color="auto" w:fill="ffffff"/>
        <w:spacing w:beforeAutospacing="true" w:after="0" w:afterAutospacing="true" w:lineRule="auto" w:line="240"/>
        <w:rPr>
          <w:rFonts w:ascii="Calibri" w:cs="Calibri" w:eastAsia="Times New Roman" w:hAnsi="Calibri"/>
          <w:color w:val="000000"/>
          <w:sz w:val="24"/>
          <w:szCs w:val="24"/>
          <w:lang w:eastAsia="es-CO"/>
        </w:rPr>
      </w:pPr>
      <w:r>
        <w:rPr>
          <w:rFonts w:ascii="Arial" w:cs="Arial" w:eastAsia="Times New Roman" w:hAnsi="Arial"/>
          <w:color w:val="000000"/>
          <w:bdr w:val="none" w:sz="0" w:space="0" w:color="auto" w:frame="true"/>
          <w:lang w:eastAsia="es-CO"/>
        </w:rPr>
        <w:t>Mejorar software y hardware  </w:t>
      </w:r>
      <w:r>
        <w:rPr>
          <w:rFonts w:ascii="Calibri" w:cs="Calibri" w:eastAsia="Times New Roman" w:hAnsi="Calibri"/>
          <w:color w:val="000000"/>
          <w:bdr w:val="none" w:sz="0" w:space="0" w:color="auto" w:frame="true"/>
          <w:lang w:eastAsia="es-CO"/>
        </w:rPr>
        <w:t> </w:t>
      </w:r>
    </w:p>
    <w:p>
      <w:pPr>
        <w:pStyle w:val="style0"/>
        <w:numPr>
          <w:ilvl w:val="0"/>
          <w:numId w:val="6"/>
        </w:numPr>
        <w:shd w:val="clear" w:color="auto" w:fill="ffffff"/>
        <w:spacing w:beforeAutospacing="true" w:after="0" w:afterAutospacing="true" w:lineRule="auto" w:line="240"/>
        <w:rPr>
          <w:rFonts w:ascii="Calibri" w:cs="Calibri" w:eastAsia="Times New Roman" w:hAnsi="Calibri"/>
          <w:color w:val="000000"/>
          <w:sz w:val="24"/>
          <w:szCs w:val="24"/>
          <w:lang w:eastAsia="es-CO"/>
        </w:rPr>
      </w:pPr>
      <w:r>
        <w:rPr>
          <w:rFonts w:ascii="Arial" w:cs="Arial" w:eastAsia="Times New Roman" w:hAnsi="Arial"/>
          <w:color w:val="000000"/>
          <w:bdr w:val="none" w:sz="0" w:space="0" w:color="auto" w:frame="true"/>
          <w:shd w:val="clear" w:color="auto" w:fill="ffffff"/>
          <w:lang w:eastAsia="es-CO"/>
        </w:rPr>
        <w:t>Redimensión de Infraestructura </w:t>
      </w:r>
      <w:r>
        <w:rPr>
          <w:rFonts w:ascii="Calibri" w:cs="Calibri" w:eastAsia="Times New Roman" w:hAnsi="Calibri"/>
          <w:color w:val="000000"/>
          <w:bdr w:val="none" w:sz="0" w:space="0" w:color="auto" w:frame="true"/>
          <w:lang w:eastAsia="es-CO"/>
        </w:rPr>
        <w:t> </w:t>
      </w:r>
    </w:p>
    <w:p>
      <w:pPr>
        <w:pStyle w:val="style0"/>
        <w:numPr>
          <w:ilvl w:val="0"/>
          <w:numId w:val="6"/>
        </w:numPr>
        <w:shd w:val="clear" w:color="auto" w:fill="ffffff"/>
        <w:spacing w:beforeAutospacing="true" w:after="0" w:afterAutospacing="true" w:lineRule="auto" w:line="240"/>
        <w:rPr>
          <w:rFonts w:ascii="Calibri" w:cs="Calibri" w:eastAsia="Times New Roman" w:hAnsi="Calibri"/>
          <w:color w:val="000000"/>
          <w:sz w:val="24"/>
          <w:szCs w:val="24"/>
          <w:lang w:eastAsia="es-CO"/>
        </w:rPr>
      </w:pPr>
      <w:r>
        <w:rPr>
          <w:rFonts w:ascii="Arial" w:cs="Arial" w:eastAsia="Times New Roman" w:hAnsi="Arial"/>
          <w:color w:val="000000"/>
          <w:bdr w:val="none" w:sz="0" w:space="0" w:color="auto" w:frame="true"/>
          <w:shd w:val="clear" w:color="auto" w:fill="ffffff"/>
          <w:lang w:eastAsia="es-CO"/>
        </w:rPr>
        <w:t>Consolidación de servidores </w:t>
      </w:r>
      <w:r>
        <w:rPr>
          <w:rFonts w:ascii="Calibri" w:cs="Calibri" w:eastAsia="Times New Roman" w:hAnsi="Calibri"/>
          <w:color w:val="000000"/>
          <w:bdr w:val="none" w:sz="0" w:space="0" w:color="auto" w:frame="true"/>
          <w:lang w:eastAsia="es-CO"/>
        </w:rPr>
        <w:t> </w:t>
      </w:r>
    </w:p>
    <w:p>
      <w:pPr>
        <w:pStyle w:val="style0"/>
        <w:numPr>
          <w:ilvl w:val="0"/>
          <w:numId w:val="6"/>
        </w:numPr>
        <w:shd w:val="clear" w:color="auto" w:fill="ffffff"/>
        <w:spacing w:beforeAutospacing="true" w:after="0" w:afterAutospacing="true" w:lineRule="auto" w:line="240"/>
        <w:rPr>
          <w:rFonts w:ascii="Calibri" w:cs="Calibri" w:eastAsia="Times New Roman" w:hAnsi="Calibri"/>
          <w:color w:val="000000"/>
          <w:sz w:val="24"/>
          <w:szCs w:val="24"/>
          <w:lang w:eastAsia="es-CO"/>
        </w:rPr>
      </w:pPr>
      <w:r>
        <w:rPr>
          <w:rFonts w:ascii="Arial" w:cs="Arial" w:eastAsia="Times New Roman" w:hAnsi="Arial"/>
          <w:color w:val="000000"/>
          <w:bdr w:val="none" w:sz="0" w:space="0" w:color="auto" w:frame="true"/>
          <w:lang w:eastAsia="es-CO"/>
        </w:rPr>
        <w:t>Optimizar las plataformas de almacenamiento</w:t>
      </w:r>
      <w:r>
        <w:rPr>
          <w:rFonts w:ascii="Calibri" w:cs="Calibri" w:eastAsia="Times New Roman" w:hAnsi="Calibri"/>
          <w:color w:val="000000"/>
          <w:sz w:val="24"/>
          <w:szCs w:val="24"/>
          <w:bdr w:val="none" w:sz="0" w:space="0" w:color="auto" w:frame="true"/>
          <w:lang w:eastAsia="es-CO"/>
        </w:rPr>
        <w:t> </w:t>
      </w:r>
      <w:r>
        <w:rPr>
          <w:rFonts w:ascii="Calibri" w:cs="Calibri" w:eastAsia="Times New Roman" w:hAnsi="Calibri"/>
          <w:color w:val="000000"/>
          <w:bdr w:val="none" w:sz="0" w:space="0" w:color="auto" w:frame="true"/>
          <w:lang w:eastAsia="es-CO"/>
        </w:rPr>
        <w:t> </w:t>
      </w:r>
    </w:p>
    <w:p>
      <w:pPr>
        <w:pStyle w:val="style0"/>
        <w:numPr>
          <w:ilvl w:val="0"/>
          <w:numId w:val="6"/>
        </w:numPr>
        <w:shd w:val="clear" w:color="auto" w:fill="ffffff"/>
        <w:spacing w:beforeAutospacing="true" w:after="0" w:afterAutospacing="true" w:lineRule="auto" w:line="240"/>
        <w:rPr>
          <w:rFonts w:ascii="Calibri" w:cs="Calibri" w:eastAsia="Times New Roman" w:hAnsi="Calibri"/>
          <w:color w:val="000000"/>
          <w:sz w:val="24"/>
          <w:szCs w:val="24"/>
          <w:lang w:eastAsia="es-CO"/>
        </w:rPr>
      </w:pPr>
      <w:r>
        <w:rPr>
          <w:rFonts w:ascii="Arial" w:cs="Arial" w:eastAsia="Times New Roman" w:hAnsi="Arial"/>
          <w:color w:val="000000"/>
          <w:bdr w:val="none" w:sz="0" w:space="0" w:color="auto" w:frame="true"/>
          <w:lang w:eastAsia="es-CO"/>
        </w:rPr>
        <w:t>Simplificar la administración de la plataforma TI</w:t>
      </w:r>
      <w:r>
        <w:rPr>
          <w:rFonts w:ascii="Calibri" w:cs="Calibri" w:eastAsia="Times New Roman" w:hAnsi="Calibri"/>
          <w:color w:val="000000"/>
          <w:sz w:val="24"/>
          <w:szCs w:val="24"/>
          <w:bdr w:val="none" w:sz="0" w:space="0" w:color="auto" w:frame="true"/>
          <w:lang w:eastAsia="es-CO"/>
        </w:rPr>
        <w:t> </w:t>
      </w:r>
    </w:p>
    <w:p>
      <w:pPr>
        <w:pStyle w:val="style0"/>
        <w:rPr>
          <w:rFonts w:ascii="Arial" w:cs="Arial" w:hAnsi="Arial"/>
          <w:lang w:val="es-MX"/>
        </w:rPr>
      </w:pPr>
      <w:r>
        <w:rPr>
          <w:rFonts w:ascii="Arial" w:cs="Arial" w:hAnsi="Arial"/>
          <w:lang w:val="es-MX"/>
        </w:rPr>
        <w:t>• Dotación de mobiliario.</w:t>
      </w:r>
    </w:p>
    <w:p>
      <w:pPr>
        <w:pStyle w:val="style0"/>
        <w:jc w:val="both"/>
        <w:rPr>
          <w:rFonts w:ascii="Arial" w:cs="Arial" w:hAnsi="Arial"/>
          <w:lang w:val="es-MX"/>
        </w:rPr>
      </w:pPr>
      <w:r>
        <w:rPr>
          <w:rFonts w:ascii="Arial" w:cs="Arial" w:hAnsi="Arial"/>
          <w:lang w:val="es-MX"/>
        </w:rPr>
        <w:t>Además de resultar insuficientes los espacios de la Alcaldía Local</w:t>
      </w:r>
      <w:r>
        <w:rPr>
          <w:rFonts w:ascii="Arial" w:cs="Arial" w:hAnsi="Arial"/>
          <w:lang w:val="es-MX"/>
        </w:rPr>
        <w:tab/>
      </w:r>
      <w:r>
        <w:rPr>
          <w:rFonts w:ascii="Arial" w:cs="Arial" w:hAnsi="Arial"/>
          <w:lang w:val="es-MX"/>
        </w:rPr>
        <w:t xml:space="preserve">para la organización y adecuada distribución de las áreas internas de trabajo, la ARL realizó la verificación de la situación de trabajo en algunas áreas, identificándose la necesidad de adecuar los espacios de circulación, la adquisición de apoya pies, elevadores de monitor y cambio de silla por encontrarse en deterioro.  </w:t>
      </w:r>
    </w:p>
    <w:p>
      <w:pPr>
        <w:pStyle w:val="style0"/>
        <w:jc w:val="both"/>
        <w:rPr>
          <w:rFonts w:ascii="Arial" w:cs="Arial" w:hAnsi="Arial"/>
          <w:lang w:val="es-MX"/>
        </w:rPr>
      </w:pPr>
      <w:r>
        <w:rPr>
          <w:rFonts w:ascii="Arial" w:cs="Arial" w:hAnsi="Arial"/>
          <w:lang w:val="es-MX"/>
        </w:rPr>
        <w:t>• Parque automotor</w:t>
      </w:r>
    </w:p>
    <w:p>
      <w:pPr>
        <w:pStyle w:val="style0"/>
        <w:jc w:val="both"/>
        <w:rPr>
          <w:rFonts w:ascii="Arial" w:cs="Arial" w:hAnsi="Arial"/>
          <w:lang w:val="es-MX"/>
        </w:rPr>
      </w:pPr>
      <w:r>
        <w:rPr>
          <w:rFonts w:ascii="Arial" w:cs="Arial" w:hAnsi="Arial"/>
          <w:lang w:val="es-MX"/>
        </w:rPr>
        <w:t>De conformidad con el contrato </w:t>
      </w:r>
      <w:r>
        <w:rPr>
          <w:rFonts w:ascii="Arial" w:cs="Arial" w:hAnsi="Arial"/>
          <w:b/>
          <w:bCs/>
          <w:lang w:val="es-MX"/>
        </w:rPr>
        <w:t>No. 112-2019</w:t>
      </w:r>
      <w:r>
        <w:rPr>
          <w:rFonts w:ascii="Arial" w:cs="Arial" w:hAnsi="Arial"/>
          <w:lang w:val="es-MX"/>
        </w:rPr>
        <w:t> con </w:t>
      </w:r>
      <w:r>
        <w:rPr>
          <w:rFonts w:ascii="Arial" w:cs="Arial" w:hAnsi="Arial"/>
          <w:b/>
          <w:bCs/>
          <w:lang w:val="es-MX"/>
        </w:rPr>
        <w:t>GOODS &amp; SERVICES CONSULTING S.A.S</w:t>
      </w:r>
      <w:r>
        <w:rPr>
          <w:rFonts w:ascii="Arial" w:cs="Arial" w:hAnsi="Arial"/>
          <w:lang w:val="es-MX"/>
        </w:rPr>
        <w:t xml:space="preserve"> se realizó la medición posterior y vida remante (en meses) de cada uno de los 5 vehículos que forman parte del parque automotor de la Alcaldía local de la Candelaria, a través del cual se presentan los siguientes resultados:</w:t>
      </w:r>
    </w:p>
    <w:tbl>
      <w:tblPr>
        <w:tblpPr w:leftFromText="141" w:rightFromText="141" w:topFromText="0" w:bottomFromText="0" w:vertAnchor="text" w:horzAnchor="margin" w:tblpXSpec="center" w:tblpY="26"/>
        <w:tblW w:w="788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622"/>
        <w:gridCol w:w="2693"/>
        <w:gridCol w:w="1674"/>
        <w:gridCol w:w="1144"/>
        <w:gridCol w:w="1755"/>
      </w:tblGrid>
      <w:tr>
        <w:trPr>
          <w:trHeight w:val="122" w:hRule="atLeast"/>
          <w:tblHeader/>
        </w:trPr>
        <w:tc>
          <w:tcPr>
            <w:tcW w:w="622" w:type="dxa"/>
            <w:tcBorders/>
            <w:shd w:val="clear" w:color="auto" w:fill="d9d9d9"/>
          </w:tcPr>
          <w:p>
            <w:pPr>
              <w:pStyle w:val="style4114"/>
              <w:jc w:val="center"/>
              <w:rPr>
                <w:rFonts w:ascii="Arial" w:cs="Arial" w:hAnsi="Arial"/>
                <w:b/>
                <w:bCs/>
                <w:sz w:val="22"/>
                <w:szCs w:val="22"/>
              </w:rPr>
            </w:pPr>
            <w:r>
              <w:rPr>
                <w:rFonts w:ascii="Arial" w:cs="Arial" w:hAnsi="Arial"/>
                <w:b/>
                <w:bCs/>
                <w:sz w:val="22"/>
                <w:szCs w:val="22"/>
              </w:rPr>
              <w:t>No.</w:t>
            </w:r>
          </w:p>
        </w:tc>
        <w:tc>
          <w:tcPr>
            <w:tcW w:w="2693" w:type="dxa"/>
            <w:tcBorders/>
            <w:shd w:val="clear" w:color="auto" w:fill="d9d9d9"/>
            <w:vAlign w:val="center"/>
          </w:tcPr>
          <w:p>
            <w:pPr>
              <w:pStyle w:val="style4114"/>
              <w:jc w:val="center"/>
              <w:rPr>
                <w:rFonts w:ascii="Arial" w:cs="Arial" w:hAnsi="Arial"/>
                <w:b/>
                <w:bCs/>
                <w:sz w:val="22"/>
                <w:szCs w:val="22"/>
              </w:rPr>
            </w:pPr>
            <w:r>
              <w:rPr>
                <w:rFonts w:ascii="Arial" w:cs="Arial" w:hAnsi="Arial"/>
                <w:b/>
                <w:bCs/>
                <w:sz w:val="22"/>
                <w:szCs w:val="22"/>
              </w:rPr>
              <w:t>MARCA</w:t>
            </w:r>
          </w:p>
        </w:tc>
        <w:tc>
          <w:tcPr>
            <w:tcW w:w="1674" w:type="dxa"/>
            <w:tcBorders/>
            <w:shd w:val="clear" w:color="auto" w:fill="d9d9d9"/>
            <w:vAlign w:val="center"/>
          </w:tcPr>
          <w:p>
            <w:pPr>
              <w:pStyle w:val="style4114"/>
              <w:jc w:val="center"/>
              <w:rPr>
                <w:rFonts w:ascii="Arial" w:cs="Arial" w:hAnsi="Arial"/>
                <w:b/>
                <w:bCs/>
                <w:sz w:val="22"/>
                <w:szCs w:val="22"/>
              </w:rPr>
            </w:pPr>
            <w:r>
              <w:rPr>
                <w:rFonts w:ascii="Arial" w:cs="Arial" w:hAnsi="Arial"/>
                <w:b/>
                <w:bCs/>
                <w:sz w:val="22"/>
                <w:szCs w:val="22"/>
              </w:rPr>
              <w:t>CLASE</w:t>
            </w:r>
          </w:p>
        </w:tc>
        <w:tc>
          <w:tcPr>
            <w:tcW w:w="1144" w:type="dxa"/>
            <w:tcBorders/>
            <w:shd w:val="clear" w:color="auto" w:fill="d9d9d9"/>
          </w:tcPr>
          <w:p>
            <w:pPr>
              <w:pStyle w:val="style4114"/>
              <w:jc w:val="center"/>
              <w:rPr>
                <w:rFonts w:ascii="Arial" w:cs="Arial" w:hAnsi="Arial"/>
                <w:b/>
                <w:bCs/>
                <w:sz w:val="22"/>
                <w:szCs w:val="22"/>
              </w:rPr>
            </w:pPr>
            <w:r>
              <w:rPr>
                <w:rFonts w:ascii="Arial" w:cs="Arial" w:hAnsi="Arial"/>
                <w:b/>
                <w:bCs/>
                <w:sz w:val="22"/>
                <w:szCs w:val="22"/>
              </w:rPr>
              <w:t>VIDA ÚTIL</w:t>
            </w:r>
          </w:p>
        </w:tc>
        <w:tc>
          <w:tcPr>
            <w:tcW w:w="1755" w:type="dxa"/>
            <w:tcBorders/>
            <w:shd w:val="clear" w:color="auto" w:fill="d9d9d9"/>
          </w:tcPr>
          <w:p>
            <w:pPr>
              <w:pStyle w:val="style4114"/>
              <w:jc w:val="center"/>
              <w:rPr>
                <w:rFonts w:ascii="Arial" w:cs="Arial" w:hAnsi="Arial"/>
                <w:b/>
                <w:bCs/>
                <w:sz w:val="22"/>
                <w:szCs w:val="22"/>
              </w:rPr>
            </w:pPr>
            <w:r>
              <w:rPr>
                <w:rFonts w:ascii="Arial" w:cs="Arial" w:hAnsi="Arial"/>
                <w:b/>
                <w:bCs/>
                <w:sz w:val="22"/>
                <w:szCs w:val="22"/>
              </w:rPr>
              <w:t>VIDA REMANENTE</w:t>
            </w:r>
          </w:p>
        </w:tc>
      </w:tr>
      <w:tr>
        <w:tblPrEx/>
        <w:trPr>
          <w:trHeight w:val="253" w:hRule="atLeast"/>
        </w:trPr>
        <w:tc>
          <w:tcPr>
            <w:tcW w:w="622" w:type="dxa"/>
            <w:tcBorders/>
          </w:tcPr>
          <w:p>
            <w:pPr>
              <w:pStyle w:val="style4114"/>
              <w:jc w:val="center"/>
              <w:rPr>
                <w:rFonts w:ascii="Arial" w:cs="Arial" w:hAnsi="Arial"/>
                <w:sz w:val="22"/>
                <w:szCs w:val="22"/>
              </w:rPr>
            </w:pPr>
            <w:r>
              <w:rPr>
                <w:rFonts w:ascii="Arial" w:cs="Arial" w:hAnsi="Arial"/>
                <w:sz w:val="22"/>
                <w:szCs w:val="22"/>
              </w:rPr>
              <w:t>1</w:t>
            </w:r>
          </w:p>
        </w:tc>
        <w:tc>
          <w:tcPr>
            <w:tcW w:w="2693" w:type="dxa"/>
            <w:tcBorders/>
            <w:shd w:val="clear" w:color="auto" w:fill="auto"/>
            <w:vAlign w:val="center"/>
          </w:tcPr>
          <w:p>
            <w:pPr>
              <w:pStyle w:val="style4114"/>
              <w:jc w:val="center"/>
              <w:rPr>
                <w:rFonts w:ascii="Arial" w:cs="Arial" w:hAnsi="Arial"/>
                <w:sz w:val="22"/>
                <w:szCs w:val="22"/>
              </w:rPr>
            </w:pPr>
            <w:r>
              <w:rPr>
                <w:rFonts w:ascii="Arial" w:cs="Arial" w:hAnsi="Arial"/>
                <w:sz w:val="22"/>
                <w:szCs w:val="22"/>
              </w:rPr>
              <w:t>CHEVROLET LUV</w:t>
            </w:r>
          </w:p>
        </w:tc>
        <w:tc>
          <w:tcPr>
            <w:tcW w:w="1674" w:type="dxa"/>
            <w:tcBorders/>
            <w:shd w:val="clear" w:color="auto" w:fill="auto"/>
            <w:vAlign w:val="center"/>
          </w:tcPr>
          <w:p>
            <w:pPr>
              <w:pStyle w:val="style4114"/>
              <w:jc w:val="center"/>
              <w:rPr>
                <w:rFonts w:ascii="Arial" w:cs="Arial" w:hAnsi="Arial"/>
                <w:sz w:val="22"/>
                <w:szCs w:val="22"/>
              </w:rPr>
            </w:pPr>
            <w:r>
              <w:rPr>
                <w:rFonts w:ascii="Arial" w:cs="Arial" w:hAnsi="Arial"/>
                <w:sz w:val="22"/>
                <w:szCs w:val="22"/>
              </w:rPr>
              <w:t>CAMIONETA</w:t>
            </w:r>
          </w:p>
        </w:tc>
        <w:tc>
          <w:tcPr>
            <w:tcW w:w="1144" w:type="dxa"/>
            <w:tcBorders/>
          </w:tcPr>
          <w:p>
            <w:pPr>
              <w:pStyle w:val="style4114"/>
              <w:jc w:val="center"/>
              <w:rPr>
                <w:rFonts w:ascii="Arial" w:cs="Arial" w:hAnsi="Arial"/>
                <w:sz w:val="22"/>
                <w:szCs w:val="22"/>
              </w:rPr>
            </w:pPr>
            <w:r>
              <w:rPr>
                <w:rFonts w:ascii="Arial" w:cs="Arial" w:hAnsi="Arial"/>
                <w:sz w:val="22"/>
                <w:szCs w:val="22"/>
              </w:rPr>
              <w:t>120</w:t>
            </w:r>
          </w:p>
        </w:tc>
        <w:tc>
          <w:tcPr>
            <w:tcW w:w="1755" w:type="dxa"/>
            <w:tcBorders/>
          </w:tcPr>
          <w:p>
            <w:pPr>
              <w:pStyle w:val="style4114"/>
              <w:jc w:val="center"/>
              <w:rPr>
                <w:rFonts w:ascii="Arial" w:cs="Arial" w:hAnsi="Arial"/>
                <w:sz w:val="22"/>
                <w:szCs w:val="22"/>
              </w:rPr>
            </w:pPr>
            <w:r>
              <w:rPr>
                <w:rFonts w:ascii="Arial" w:cs="Arial" w:hAnsi="Arial"/>
                <w:sz w:val="22"/>
                <w:szCs w:val="22"/>
              </w:rPr>
              <w:t>48</w:t>
            </w:r>
          </w:p>
        </w:tc>
      </w:tr>
      <w:tr>
        <w:tblPrEx/>
        <w:trPr>
          <w:trHeight w:val="253" w:hRule="atLeast"/>
        </w:trPr>
        <w:tc>
          <w:tcPr>
            <w:tcW w:w="622" w:type="dxa"/>
            <w:tcBorders/>
          </w:tcPr>
          <w:p>
            <w:pPr>
              <w:pStyle w:val="style4114"/>
              <w:jc w:val="center"/>
              <w:rPr>
                <w:rFonts w:ascii="Arial" w:cs="Arial" w:hAnsi="Arial"/>
                <w:sz w:val="22"/>
                <w:szCs w:val="22"/>
              </w:rPr>
            </w:pPr>
            <w:r>
              <w:rPr>
                <w:rFonts w:ascii="Arial" w:cs="Arial" w:hAnsi="Arial"/>
                <w:sz w:val="22"/>
                <w:szCs w:val="22"/>
              </w:rPr>
              <w:t>2</w:t>
            </w:r>
          </w:p>
        </w:tc>
        <w:tc>
          <w:tcPr>
            <w:tcW w:w="2693" w:type="dxa"/>
            <w:tcBorders/>
            <w:shd w:val="clear" w:color="auto" w:fill="auto"/>
            <w:vAlign w:val="center"/>
          </w:tcPr>
          <w:p>
            <w:pPr>
              <w:pStyle w:val="style4114"/>
              <w:jc w:val="center"/>
              <w:rPr>
                <w:rFonts w:ascii="Arial" w:cs="Arial" w:hAnsi="Arial"/>
                <w:sz w:val="22"/>
                <w:szCs w:val="22"/>
              </w:rPr>
            </w:pPr>
            <w:r>
              <w:rPr>
                <w:rFonts w:ascii="Arial" w:cs="Arial" w:hAnsi="Arial"/>
                <w:sz w:val="22"/>
                <w:szCs w:val="22"/>
              </w:rPr>
              <w:t>NISSAN XTRAIL</w:t>
            </w:r>
          </w:p>
        </w:tc>
        <w:tc>
          <w:tcPr>
            <w:tcW w:w="1674" w:type="dxa"/>
            <w:tcBorders/>
            <w:shd w:val="clear" w:color="auto" w:fill="auto"/>
            <w:vAlign w:val="center"/>
          </w:tcPr>
          <w:p>
            <w:pPr>
              <w:pStyle w:val="style4114"/>
              <w:jc w:val="center"/>
              <w:rPr>
                <w:rFonts w:ascii="Arial" w:cs="Arial" w:hAnsi="Arial"/>
                <w:sz w:val="22"/>
                <w:szCs w:val="22"/>
              </w:rPr>
            </w:pPr>
            <w:r>
              <w:rPr>
                <w:rFonts w:ascii="Arial" w:cs="Arial" w:hAnsi="Arial"/>
                <w:sz w:val="22"/>
                <w:szCs w:val="22"/>
              </w:rPr>
              <w:t>CAMIONETA</w:t>
            </w:r>
          </w:p>
        </w:tc>
        <w:tc>
          <w:tcPr>
            <w:tcW w:w="1144" w:type="dxa"/>
            <w:tcBorders/>
          </w:tcPr>
          <w:p>
            <w:pPr>
              <w:pStyle w:val="style4114"/>
              <w:jc w:val="center"/>
              <w:rPr>
                <w:rFonts w:ascii="Arial" w:cs="Arial" w:hAnsi="Arial"/>
                <w:sz w:val="22"/>
                <w:szCs w:val="22"/>
              </w:rPr>
            </w:pPr>
            <w:r>
              <w:rPr>
                <w:rFonts w:ascii="Arial" w:cs="Arial" w:hAnsi="Arial"/>
                <w:sz w:val="22"/>
                <w:szCs w:val="22"/>
              </w:rPr>
              <w:t>120</w:t>
            </w:r>
          </w:p>
        </w:tc>
        <w:tc>
          <w:tcPr>
            <w:tcW w:w="1755" w:type="dxa"/>
            <w:tcBorders/>
          </w:tcPr>
          <w:p>
            <w:pPr>
              <w:pStyle w:val="style4114"/>
              <w:jc w:val="center"/>
              <w:rPr>
                <w:rFonts w:ascii="Arial" w:cs="Arial" w:hAnsi="Arial"/>
                <w:sz w:val="22"/>
                <w:szCs w:val="22"/>
              </w:rPr>
            </w:pPr>
            <w:r>
              <w:rPr>
                <w:rFonts w:ascii="Arial" w:cs="Arial" w:hAnsi="Arial"/>
                <w:sz w:val="22"/>
                <w:szCs w:val="22"/>
              </w:rPr>
              <w:t>48</w:t>
            </w:r>
          </w:p>
        </w:tc>
      </w:tr>
      <w:tr>
        <w:tblPrEx/>
        <w:trPr>
          <w:trHeight w:val="253" w:hRule="atLeast"/>
        </w:trPr>
        <w:tc>
          <w:tcPr>
            <w:tcW w:w="622" w:type="dxa"/>
            <w:tcBorders/>
          </w:tcPr>
          <w:p>
            <w:pPr>
              <w:pStyle w:val="style4114"/>
              <w:jc w:val="center"/>
              <w:rPr>
                <w:rFonts w:ascii="Arial" w:cs="Arial" w:hAnsi="Arial"/>
                <w:sz w:val="22"/>
                <w:szCs w:val="22"/>
              </w:rPr>
            </w:pPr>
            <w:r>
              <w:rPr>
                <w:rFonts w:ascii="Arial" w:cs="Arial" w:hAnsi="Arial"/>
                <w:sz w:val="22"/>
                <w:szCs w:val="22"/>
              </w:rPr>
              <w:t>3</w:t>
            </w:r>
          </w:p>
        </w:tc>
        <w:tc>
          <w:tcPr>
            <w:tcW w:w="2693" w:type="dxa"/>
            <w:tcBorders/>
            <w:shd w:val="clear" w:color="auto" w:fill="auto"/>
            <w:vAlign w:val="center"/>
          </w:tcPr>
          <w:p>
            <w:pPr>
              <w:pStyle w:val="style4114"/>
              <w:jc w:val="center"/>
              <w:rPr>
                <w:rFonts w:ascii="Arial" w:cs="Arial" w:hAnsi="Arial"/>
                <w:sz w:val="22"/>
                <w:szCs w:val="22"/>
              </w:rPr>
            </w:pPr>
            <w:r>
              <w:rPr>
                <w:rFonts w:ascii="Arial" w:cs="Arial" w:hAnsi="Arial"/>
                <w:sz w:val="22"/>
                <w:szCs w:val="22"/>
              </w:rPr>
              <w:t>TOYOTA HYLUX</w:t>
            </w:r>
          </w:p>
        </w:tc>
        <w:tc>
          <w:tcPr>
            <w:tcW w:w="1674" w:type="dxa"/>
            <w:tcBorders/>
            <w:shd w:val="clear" w:color="auto" w:fill="auto"/>
            <w:vAlign w:val="center"/>
          </w:tcPr>
          <w:p>
            <w:pPr>
              <w:pStyle w:val="style4114"/>
              <w:jc w:val="center"/>
              <w:rPr>
                <w:rFonts w:ascii="Arial" w:cs="Arial" w:hAnsi="Arial"/>
                <w:sz w:val="22"/>
                <w:szCs w:val="22"/>
              </w:rPr>
            </w:pPr>
            <w:r>
              <w:rPr>
                <w:rFonts w:ascii="Arial" w:cs="Arial" w:hAnsi="Arial"/>
                <w:sz w:val="22"/>
                <w:szCs w:val="22"/>
              </w:rPr>
              <w:t>CAMIONETA</w:t>
            </w:r>
          </w:p>
        </w:tc>
        <w:tc>
          <w:tcPr>
            <w:tcW w:w="1144" w:type="dxa"/>
            <w:tcBorders/>
          </w:tcPr>
          <w:p>
            <w:pPr>
              <w:pStyle w:val="style4114"/>
              <w:jc w:val="center"/>
              <w:rPr>
                <w:rFonts w:ascii="Arial" w:cs="Arial" w:hAnsi="Arial"/>
                <w:sz w:val="22"/>
                <w:szCs w:val="22"/>
              </w:rPr>
            </w:pPr>
            <w:r>
              <w:rPr>
                <w:rFonts w:ascii="Arial" w:cs="Arial" w:hAnsi="Arial"/>
                <w:sz w:val="22"/>
                <w:szCs w:val="22"/>
              </w:rPr>
              <w:t>120</w:t>
            </w:r>
          </w:p>
        </w:tc>
        <w:tc>
          <w:tcPr>
            <w:tcW w:w="1755" w:type="dxa"/>
            <w:tcBorders/>
          </w:tcPr>
          <w:p>
            <w:pPr>
              <w:pStyle w:val="style4114"/>
              <w:jc w:val="center"/>
              <w:rPr>
                <w:rFonts w:ascii="Arial" w:cs="Arial" w:hAnsi="Arial"/>
                <w:sz w:val="22"/>
                <w:szCs w:val="22"/>
              </w:rPr>
            </w:pPr>
            <w:r>
              <w:rPr>
                <w:rFonts w:ascii="Arial" w:cs="Arial" w:hAnsi="Arial"/>
                <w:sz w:val="22"/>
                <w:szCs w:val="22"/>
              </w:rPr>
              <w:t>96</w:t>
            </w:r>
          </w:p>
        </w:tc>
      </w:tr>
      <w:tr>
        <w:tblPrEx/>
        <w:trPr>
          <w:trHeight w:val="253" w:hRule="atLeast"/>
        </w:trPr>
        <w:tc>
          <w:tcPr>
            <w:tcW w:w="622" w:type="dxa"/>
            <w:tcBorders/>
          </w:tcPr>
          <w:p>
            <w:pPr>
              <w:pStyle w:val="style4114"/>
              <w:jc w:val="center"/>
              <w:rPr>
                <w:rFonts w:ascii="Arial" w:cs="Arial" w:hAnsi="Arial"/>
                <w:sz w:val="22"/>
                <w:szCs w:val="22"/>
              </w:rPr>
            </w:pPr>
            <w:r>
              <w:rPr>
                <w:rFonts w:ascii="Arial" w:cs="Arial" w:hAnsi="Arial"/>
                <w:sz w:val="22"/>
                <w:szCs w:val="22"/>
              </w:rPr>
              <w:t>4</w:t>
            </w:r>
          </w:p>
        </w:tc>
        <w:tc>
          <w:tcPr>
            <w:tcW w:w="2693" w:type="dxa"/>
            <w:tcBorders/>
            <w:shd w:val="clear" w:color="auto" w:fill="auto"/>
            <w:vAlign w:val="center"/>
          </w:tcPr>
          <w:p>
            <w:pPr>
              <w:pStyle w:val="style4114"/>
              <w:jc w:val="center"/>
              <w:rPr>
                <w:rFonts w:ascii="Arial" w:cs="Arial" w:hAnsi="Arial"/>
                <w:sz w:val="22"/>
                <w:szCs w:val="22"/>
              </w:rPr>
            </w:pPr>
            <w:r>
              <w:rPr>
                <w:rFonts w:ascii="Arial" w:cs="Arial" w:hAnsi="Arial"/>
                <w:sz w:val="22"/>
                <w:szCs w:val="22"/>
              </w:rPr>
              <w:t>CHEVROLET CAPTIVA</w:t>
            </w:r>
          </w:p>
        </w:tc>
        <w:tc>
          <w:tcPr>
            <w:tcW w:w="1674" w:type="dxa"/>
            <w:tcBorders/>
            <w:shd w:val="clear" w:color="auto" w:fill="auto"/>
            <w:vAlign w:val="center"/>
          </w:tcPr>
          <w:p>
            <w:pPr>
              <w:pStyle w:val="style4114"/>
              <w:jc w:val="center"/>
              <w:rPr>
                <w:rFonts w:ascii="Arial" w:cs="Arial" w:hAnsi="Arial"/>
                <w:sz w:val="22"/>
                <w:szCs w:val="22"/>
              </w:rPr>
            </w:pPr>
            <w:r>
              <w:rPr>
                <w:rFonts w:ascii="Arial" w:cs="Arial" w:hAnsi="Arial"/>
                <w:sz w:val="22"/>
                <w:szCs w:val="22"/>
              </w:rPr>
              <w:t>CAMPERO</w:t>
            </w:r>
          </w:p>
        </w:tc>
        <w:tc>
          <w:tcPr>
            <w:tcW w:w="1144" w:type="dxa"/>
            <w:tcBorders/>
          </w:tcPr>
          <w:p>
            <w:pPr>
              <w:pStyle w:val="style4114"/>
              <w:jc w:val="center"/>
              <w:rPr>
                <w:rFonts w:ascii="Arial" w:cs="Arial" w:hAnsi="Arial"/>
                <w:sz w:val="22"/>
                <w:szCs w:val="22"/>
              </w:rPr>
            </w:pPr>
            <w:r>
              <w:rPr>
                <w:rFonts w:ascii="Arial" w:cs="Arial" w:hAnsi="Arial"/>
                <w:sz w:val="22"/>
                <w:szCs w:val="22"/>
              </w:rPr>
              <w:t>120</w:t>
            </w:r>
          </w:p>
        </w:tc>
        <w:tc>
          <w:tcPr>
            <w:tcW w:w="1755" w:type="dxa"/>
            <w:tcBorders/>
          </w:tcPr>
          <w:p>
            <w:pPr>
              <w:pStyle w:val="style4114"/>
              <w:jc w:val="center"/>
              <w:rPr>
                <w:rFonts w:ascii="Arial" w:cs="Arial" w:hAnsi="Arial"/>
                <w:sz w:val="22"/>
                <w:szCs w:val="22"/>
              </w:rPr>
            </w:pPr>
            <w:r>
              <w:rPr>
                <w:rFonts w:ascii="Arial" w:cs="Arial" w:hAnsi="Arial"/>
                <w:sz w:val="22"/>
                <w:szCs w:val="22"/>
              </w:rPr>
              <w:t>60</w:t>
            </w:r>
          </w:p>
        </w:tc>
      </w:tr>
      <w:tr>
        <w:tblPrEx/>
        <w:trPr>
          <w:trHeight w:val="253" w:hRule="atLeast"/>
        </w:trPr>
        <w:tc>
          <w:tcPr>
            <w:tcW w:w="622" w:type="dxa"/>
            <w:tcBorders/>
          </w:tcPr>
          <w:p>
            <w:pPr>
              <w:pStyle w:val="style4114"/>
              <w:jc w:val="center"/>
              <w:rPr>
                <w:rFonts w:ascii="Arial" w:cs="Arial" w:hAnsi="Arial"/>
                <w:sz w:val="22"/>
                <w:szCs w:val="22"/>
              </w:rPr>
            </w:pPr>
            <w:r>
              <w:rPr>
                <w:rFonts w:ascii="Arial" w:cs="Arial" w:hAnsi="Arial"/>
                <w:sz w:val="22"/>
                <w:szCs w:val="22"/>
              </w:rPr>
              <w:t>5</w:t>
            </w:r>
          </w:p>
        </w:tc>
        <w:tc>
          <w:tcPr>
            <w:tcW w:w="2693" w:type="dxa"/>
            <w:tcBorders/>
            <w:shd w:val="clear" w:color="auto" w:fill="auto"/>
            <w:vAlign w:val="center"/>
          </w:tcPr>
          <w:p>
            <w:pPr>
              <w:pStyle w:val="style4114"/>
              <w:jc w:val="center"/>
              <w:rPr>
                <w:rFonts w:ascii="Arial" w:cs="Arial" w:hAnsi="Arial"/>
                <w:sz w:val="22"/>
                <w:szCs w:val="22"/>
              </w:rPr>
            </w:pPr>
            <w:r>
              <w:rPr>
                <w:rFonts w:ascii="Arial" w:cs="Arial" w:hAnsi="Arial"/>
                <w:sz w:val="22"/>
                <w:szCs w:val="22"/>
              </w:rPr>
              <w:t>CHEVROLET SPARK</w:t>
            </w:r>
          </w:p>
        </w:tc>
        <w:tc>
          <w:tcPr>
            <w:tcW w:w="1674" w:type="dxa"/>
            <w:tcBorders/>
            <w:shd w:val="clear" w:color="auto" w:fill="auto"/>
            <w:vAlign w:val="center"/>
          </w:tcPr>
          <w:p>
            <w:pPr>
              <w:pStyle w:val="style4114"/>
              <w:jc w:val="center"/>
              <w:rPr>
                <w:rFonts w:ascii="Arial" w:cs="Arial" w:hAnsi="Arial"/>
                <w:sz w:val="22"/>
                <w:szCs w:val="22"/>
              </w:rPr>
            </w:pPr>
            <w:r>
              <w:rPr>
                <w:rFonts w:ascii="Arial" w:cs="Arial" w:hAnsi="Arial"/>
                <w:sz w:val="22"/>
                <w:szCs w:val="22"/>
              </w:rPr>
              <w:t>AUTOMOVIL</w:t>
            </w:r>
          </w:p>
        </w:tc>
        <w:tc>
          <w:tcPr>
            <w:tcW w:w="1144" w:type="dxa"/>
            <w:tcBorders/>
          </w:tcPr>
          <w:p>
            <w:pPr>
              <w:pStyle w:val="style4114"/>
              <w:jc w:val="center"/>
              <w:rPr>
                <w:rFonts w:ascii="Arial" w:cs="Arial" w:hAnsi="Arial"/>
                <w:sz w:val="22"/>
                <w:szCs w:val="22"/>
              </w:rPr>
            </w:pPr>
            <w:r>
              <w:rPr>
                <w:rFonts w:ascii="Arial" w:cs="Arial" w:hAnsi="Arial"/>
                <w:sz w:val="22"/>
                <w:szCs w:val="22"/>
              </w:rPr>
              <w:t>120</w:t>
            </w:r>
          </w:p>
        </w:tc>
        <w:tc>
          <w:tcPr>
            <w:tcW w:w="1755" w:type="dxa"/>
            <w:tcBorders/>
          </w:tcPr>
          <w:p>
            <w:pPr>
              <w:pStyle w:val="style4114"/>
              <w:jc w:val="center"/>
              <w:rPr>
                <w:rFonts w:ascii="Arial" w:cs="Arial" w:hAnsi="Arial"/>
                <w:sz w:val="22"/>
                <w:szCs w:val="22"/>
              </w:rPr>
            </w:pPr>
            <w:r>
              <w:rPr>
                <w:rFonts w:ascii="Arial" w:cs="Arial" w:hAnsi="Arial"/>
                <w:sz w:val="22"/>
                <w:szCs w:val="22"/>
              </w:rPr>
              <w:t>60</w:t>
            </w:r>
          </w:p>
        </w:tc>
      </w:tr>
    </w:tbl>
    <w:p>
      <w:pPr>
        <w:pStyle w:val="style0"/>
        <w:jc w:val="both"/>
        <w:rPr>
          <w:rFonts w:ascii="Arial" w:cs="Arial" w:hAnsi="Arial"/>
          <w:lang w:val="es-MX"/>
        </w:rPr>
      </w:pPr>
    </w:p>
    <w:p>
      <w:pPr>
        <w:pStyle w:val="style0"/>
        <w:jc w:val="both"/>
        <w:rPr>
          <w:rFonts w:ascii="Arial" w:cs="Arial" w:hAnsi="Arial"/>
          <w:lang w:val="es-MX"/>
        </w:rPr>
      </w:pPr>
      <w:r>
        <w:rPr>
          <w:rFonts w:ascii="Arial" w:cs="Arial" w:hAnsi="Arial"/>
          <w:lang w:val="es-MX"/>
        </w:rPr>
        <w:t xml:space="preserve">• Manejo y administración de bienes inmuebles, toma física de inventarios y avalúos. </w:t>
      </w:r>
    </w:p>
    <w:p>
      <w:pPr>
        <w:pStyle w:val="style0"/>
        <w:spacing w:after="0"/>
        <w:jc w:val="both"/>
        <w:rPr>
          <w:rFonts w:ascii="Arial" w:cs="Arial" w:hAnsi="Arial"/>
          <w:lang w:val="es-MX"/>
        </w:rPr>
      </w:pPr>
      <w:r>
        <w:rPr>
          <w:rFonts w:ascii="Arial" w:cs="Arial" w:hAnsi="Arial"/>
          <w:lang w:val="es-MX"/>
        </w:rPr>
        <w:t>De acuerdo con el Manual De Políticas de Operación Contable de la Secretaría Distrital de Gobierno y Fondos de Desarrollo Local, “con el fin de realizar una medición fiable se realizará una vez al año una toma física en la cual se verifique el estado real de los activos y se obtenga por parte de personal experto un concepto técnico de la vida útil y deterioro.”</w:t>
      </w:r>
    </w:p>
    <w:p>
      <w:pPr>
        <w:pStyle w:val="style0"/>
        <w:spacing w:after="0"/>
        <w:jc w:val="both"/>
        <w:rPr>
          <w:rFonts w:ascii="Arial" w:cs="Arial" w:hAnsi="Arial"/>
          <w:lang w:val="es-MX"/>
        </w:rPr>
      </w:pPr>
    </w:p>
    <w:p>
      <w:pPr>
        <w:pStyle w:val="style0"/>
        <w:spacing w:after="0"/>
        <w:jc w:val="both"/>
        <w:rPr>
          <w:rFonts w:ascii="Arial" w:cs="Arial" w:hAnsi="Arial"/>
          <w:lang w:val="es-MX"/>
        </w:rPr>
      </w:pPr>
      <w:r>
        <w:rPr>
          <w:rFonts w:ascii="Arial" w:cs="Arial" w:hAnsi="Arial"/>
          <w:lang w:val="es-MX"/>
        </w:rPr>
        <w:t xml:space="preserve">• Elementos de protección documental. </w:t>
      </w:r>
    </w:p>
    <w:p>
      <w:pPr>
        <w:pStyle w:val="style0"/>
        <w:spacing w:after="0"/>
        <w:jc w:val="both"/>
        <w:rPr>
          <w:rFonts w:ascii="Arial" w:cs="Arial" w:hAnsi="Arial"/>
          <w:lang w:val="es-MX"/>
        </w:rPr>
      </w:pPr>
    </w:p>
    <w:p>
      <w:pPr>
        <w:pStyle w:val="style0"/>
        <w:spacing w:after="0" w:lineRule="auto" w:line="240"/>
        <w:jc w:val="both"/>
        <w:rPr>
          <w:rFonts w:ascii="Arial" w:cs="Arial" w:hAnsi="Arial"/>
          <w:color w:val="ff0000"/>
          <w:lang w:val="es-MX"/>
        </w:rPr>
      </w:pPr>
      <w:r>
        <w:rPr>
          <w:rFonts w:ascii="Arial" w:cs="Arial" w:hAnsi="Arial"/>
          <w:lang w:val="es-MX"/>
        </w:rPr>
        <w:t xml:space="preserve">De acuerdo con el análisis realizado desde el área de gestión documental, se identificaron las siguientes necesidades con el fin de brindar protección al acervo documental de la Alcaldía Local de la Candelaria.  </w:t>
      </w:r>
    </w:p>
    <w:p>
      <w:pPr>
        <w:pStyle w:val="style0"/>
        <w:spacing w:after="0" w:lineRule="auto" w:line="240"/>
        <w:jc w:val="both"/>
        <w:rPr>
          <w:rFonts w:ascii="Arial" w:cs="Arial" w:hAnsi="Arial"/>
          <w:color w:val="ff0000"/>
          <w:lang w:val="es-MX"/>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ffffff"/>
        <w:tblCellMar>
          <w:top w:w="15" w:type="dxa"/>
          <w:left w:w="15" w:type="dxa"/>
          <w:bottom w:w="15" w:type="dxa"/>
          <w:right w:w="15" w:type="dxa"/>
        </w:tblCellMar>
        <w:tblLook w:val="04A0" w:firstRow="1" w:lastRow="0" w:firstColumn="1" w:lastColumn="0" w:noHBand="0" w:noVBand="1"/>
      </w:tblPr>
      <w:tblGrid>
        <w:gridCol w:w="2825"/>
        <w:gridCol w:w="5993"/>
      </w:tblGrid>
      <w:tr>
        <w:trPr>
          <w:tblHeader/>
        </w:trPr>
        <w:tc>
          <w:tcPr>
            <w:tcW w:w="2825" w:type="dxa"/>
            <w:tcBorders/>
            <w:shd w:val="clear" w:color="auto" w:fill="d9d9d9"/>
            <w:tcMar>
              <w:top w:w="0" w:type="dxa"/>
              <w:left w:w="108" w:type="dxa"/>
              <w:bottom w:w="0" w:type="dxa"/>
              <w:right w:w="108" w:type="dxa"/>
            </w:tcMar>
            <w:vAlign w:val="center"/>
            <w:hideMark/>
          </w:tcPr>
          <w:p>
            <w:pPr>
              <w:pStyle w:val="style0"/>
              <w:spacing w:after="0" w:lineRule="auto" w:line="240"/>
              <w:jc w:val="center"/>
              <w:rPr>
                <w:rFonts w:ascii="Times New Roman" w:cs="Times New Roman" w:eastAsia="Times New Roman" w:hAnsi="Times New Roman"/>
                <w:color w:val="000000"/>
                <w:lang w:eastAsia="es-CO"/>
              </w:rPr>
            </w:pPr>
            <w:r>
              <w:rPr>
                <w:rFonts w:ascii="Arial" w:cs="Arial" w:eastAsia="Times New Roman" w:hAnsi="Arial"/>
                <w:b/>
                <w:bCs/>
                <w:color w:val="000000"/>
                <w:bdr w:val="none" w:sz="0" w:space="0" w:color="auto" w:frame="true"/>
                <w:lang w:val="es-MX" w:eastAsia="es-CO"/>
              </w:rPr>
              <w:t>NECESIDADES </w:t>
            </w:r>
            <w:r>
              <w:rPr>
                <w:rFonts w:ascii="Arial" w:cs="Arial" w:eastAsia="Times New Roman" w:hAnsi="Arial"/>
                <w:color w:val="000000"/>
                <w:bdr w:val="none" w:sz="0" w:space="0" w:color="auto" w:frame="true"/>
                <w:lang w:eastAsia="es-CO"/>
              </w:rPr>
              <w:t> </w:t>
            </w:r>
          </w:p>
        </w:tc>
        <w:tc>
          <w:tcPr>
            <w:tcW w:w="5993" w:type="dxa"/>
            <w:tcBorders/>
            <w:shd w:val="clear" w:color="auto" w:fill="d9d9d9"/>
            <w:tcMar>
              <w:top w:w="0" w:type="dxa"/>
              <w:left w:w="108" w:type="dxa"/>
              <w:bottom w:w="0" w:type="dxa"/>
              <w:right w:w="108" w:type="dxa"/>
            </w:tcMar>
            <w:vAlign w:val="center"/>
            <w:hideMark/>
          </w:tcPr>
          <w:p>
            <w:pPr>
              <w:pStyle w:val="style0"/>
              <w:spacing w:after="0" w:lineRule="auto" w:line="240"/>
              <w:jc w:val="center"/>
              <w:rPr>
                <w:rFonts w:ascii="Times New Roman" w:cs="Times New Roman" w:eastAsia="Times New Roman" w:hAnsi="Times New Roman"/>
                <w:color w:val="000000"/>
                <w:lang w:eastAsia="es-CO"/>
              </w:rPr>
            </w:pPr>
            <w:r>
              <w:rPr>
                <w:rFonts w:ascii="Arial" w:cs="Arial" w:eastAsia="Times New Roman" w:hAnsi="Arial"/>
                <w:b/>
                <w:bCs/>
                <w:color w:val="000000"/>
                <w:bdr w:val="none" w:sz="0" w:space="0" w:color="auto" w:frame="true"/>
                <w:lang w:val="es-MX" w:eastAsia="es-CO"/>
              </w:rPr>
              <w:t>JUSTIFICACIÓN </w:t>
            </w:r>
            <w:r>
              <w:rPr>
                <w:rFonts w:ascii="Arial" w:cs="Arial" w:eastAsia="Times New Roman" w:hAnsi="Arial"/>
                <w:color w:val="000000"/>
                <w:bdr w:val="none" w:sz="0" w:space="0" w:color="auto" w:frame="true"/>
                <w:lang w:eastAsia="es-CO"/>
              </w:rPr>
              <w:t> </w:t>
            </w:r>
          </w:p>
        </w:tc>
      </w:tr>
      <w:tr>
        <w:tblPrEx/>
        <w:trPr/>
        <w:tc>
          <w:tcPr>
            <w:tcW w:w="2825" w:type="dxa"/>
            <w:tcBorders/>
            <w:shd w:val="clear" w:color="auto" w:fill="ffffff"/>
            <w:tcMar>
              <w:top w:w="0" w:type="dxa"/>
              <w:left w:w="108" w:type="dxa"/>
              <w:bottom w:w="0" w:type="dxa"/>
              <w:right w:w="108" w:type="dxa"/>
            </w:tcMar>
            <w:vAlign w:val="center"/>
            <w:hideMark/>
          </w:tcPr>
          <w:p>
            <w:pPr>
              <w:pStyle w:val="style0"/>
              <w:spacing w:after="0" w:lineRule="auto" w:line="240"/>
              <w:jc w:val="both"/>
              <w:rPr>
                <w:rFonts w:ascii="Times New Roman" w:cs="Times New Roman" w:eastAsia="Times New Roman" w:hAnsi="Times New Roman"/>
                <w:color w:val="000000"/>
                <w:lang w:eastAsia="es-CO"/>
              </w:rPr>
            </w:pPr>
            <w:r>
              <w:rPr>
                <w:rFonts w:ascii="Arial" w:cs="Arial" w:eastAsia="Times New Roman" w:hAnsi="Arial"/>
                <w:color w:val="000000"/>
                <w:bdr w:val="none" w:sz="0" w:space="0" w:color="auto" w:frame="true"/>
                <w:lang w:val="es-MX" w:eastAsia="es-CO"/>
              </w:rPr>
              <w:t>Sensores de humo </w:t>
            </w:r>
            <w:r>
              <w:rPr>
                <w:rFonts w:ascii="Arial" w:cs="Arial" w:eastAsia="Times New Roman" w:hAnsi="Arial"/>
                <w:color w:val="000000"/>
                <w:bdr w:val="none" w:sz="0" w:space="0" w:color="auto" w:frame="true"/>
                <w:lang w:eastAsia="es-CO"/>
              </w:rPr>
              <w:t> </w:t>
            </w:r>
          </w:p>
        </w:tc>
        <w:tc>
          <w:tcPr>
            <w:tcW w:w="5993" w:type="dxa"/>
            <w:tcBorders/>
            <w:shd w:val="clear" w:color="auto" w:fill="ffffff"/>
            <w:tcMar>
              <w:top w:w="0" w:type="dxa"/>
              <w:left w:w="108" w:type="dxa"/>
              <w:bottom w:w="0" w:type="dxa"/>
              <w:right w:w="108" w:type="dxa"/>
            </w:tcMar>
            <w:vAlign w:val="center"/>
            <w:hideMark/>
          </w:tcPr>
          <w:p>
            <w:pPr>
              <w:pStyle w:val="style0"/>
              <w:spacing w:after="0" w:lineRule="auto" w:line="240"/>
              <w:jc w:val="both"/>
              <w:rPr>
                <w:rFonts w:ascii="Times New Roman" w:cs="Times New Roman" w:eastAsia="Times New Roman" w:hAnsi="Times New Roman"/>
                <w:color w:val="000000"/>
                <w:lang w:eastAsia="es-CO"/>
              </w:rPr>
            </w:pPr>
            <w:r>
              <w:rPr>
                <w:rFonts w:ascii="Arial" w:cs="Arial" w:eastAsia="Times New Roman" w:hAnsi="Arial"/>
                <w:color w:val="000000"/>
                <w:bdr w:val="none" w:sz="0" w:space="0" w:color="auto" w:frame="true"/>
                <w:lang w:val="es-MX" w:eastAsia="es-CO"/>
              </w:rPr>
              <w:t>Protección contra incendio</w:t>
            </w:r>
            <w:r>
              <w:rPr>
                <w:rFonts w:ascii="Arial" w:cs="Arial" w:eastAsia="Times New Roman" w:hAnsi="Arial"/>
                <w:color w:val="000000"/>
                <w:bdr w:val="none" w:sz="0" w:space="0" w:color="auto" w:frame="true"/>
                <w:lang w:eastAsia="es-CO"/>
              </w:rPr>
              <w:t>. Este elemento hace parte de elementos para el manejo de riesgo y emergencia en los depósitos de archivo.</w:t>
            </w:r>
          </w:p>
        </w:tc>
      </w:tr>
      <w:tr>
        <w:tblPrEx/>
        <w:trPr/>
        <w:tc>
          <w:tcPr>
            <w:tcW w:w="2825" w:type="dxa"/>
            <w:tcBorders/>
            <w:shd w:val="clear" w:color="auto" w:fill="ffffff"/>
            <w:tcMar>
              <w:top w:w="0" w:type="dxa"/>
              <w:left w:w="108" w:type="dxa"/>
              <w:bottom w:w="0" w:type="dxa"/>
              <w:right w:w="108" w:type="dxa"/>
            </w:tcMar>
            <w:vAlign w:val="center"/>
            <w:hideMark/>
          </w:tcPr>
          <w:p>
            <w:pPr>
              <w:pStyle w:val="style0"/>
              <w:spacing w:after="0" w:lineRule="auto" w:line="240"/>
              <w:jc w:val="both"/>
              <w:rPr>
                <w:rFonts w:ascii="Times New Roman" w:cs="Times New Roman" w:eastAsia="Times New Roman" w:hAnsi="Times New Roman"/>
                <w:color w:val="000000"/>
                <w:lang w:eastAsia="es-CO"/>
              </w:rPr>
            </w:pPr>
            <w:r>
              <w:rPr>
                <w:rFonts w:ascii="Arial" w:cs="Arial" w:eastAsia="Times New Roman" w:hAnsi="Arial"/>
                <w:color w:val="000000"/>
                <w:bdr w:val="none" w:sz="0" w:space="0" w:color="auto" w:frame="true"/>
                <w:lang w:val="es-MX" w:eastAsia="es-CO"/>
              </w:rPr>
              <w:t>Sensores de movimiento </w:t>
            </w:r>
            <w:r>
              <w:rPr>
                <w:rFonts w:ascii="Arial" w:cs="Arial" w:eastAsia="Times New Roman" w:hAnsi="Arial"/>
                <w:color w:val="000000"/>
                <w:bdr w:val="none" w:sz="0" w:space="0" w:color="auto" w:frame="true"/>
                <w:lang w:eastAsia="es-CO"/>
              </w:rPr>
              <w:t> </w:t>
            </w:r>
          </w:p>
        </w:tc>
        <w:tc>
          <w:tcPr>
            <w:tcW w:w="5993" w:type="dxa"/>
            <w:tcBorders/>
            <w:shd w:val="clear" w:color="auto" w:fill="ffffff"/>
            <w:tcMar>
              <w:top w:w="0" w:type="dxa"/>
              <w:left w:w="108" w:type="dxa"/>
              <w:bottom w:w="0" w:type="dxa"/>
              <w:right w:w="108" w:type="dxa"/>
            </w:tcMar>
            <w:vAlign w:val="center"/>
            <w:hideMark/>
          </w:tcPr>
          <w:p>
            <w:pPr>
              <w:pStyle w:val="style0"/>
              <w:spacing w:after="0" w:lineRule="auto" w:line="240"/>
              <w:jc w:val="both"/>
              <w:rPr>
                <w:rFonts w:ascii="Times New Roman" w:cs="Times New Roman" w:eastAsia="Times New Roman" w:hAnsi="Times New Roman"/>
                <w:color w:val="000000"/>
                <w:lang w:eastAsia="es-CO"/>
              </w:rPr>
            </w:pPr>
            <w:r>
              <w:rPr>
                <w:rFonts w:ascii="Arial" w:cs="Arial" w:eastAsia="Times New Roman" w:hAnsi="Arial"/>
                <w:color w:val="000000"/>
                <w:bdr w:val="none" w:sz="0" w:space="0" w:color="auto" w:frame="true"/>
                <w:lang w:val="es-MX" w:eastAsia="es-CO"/>
              </w:rPr>
              <w:t>Para la detección y movimientos y posible ahorro de energía</w:t>
            </w:r>
            <w:r>
              <w:rPr>
                <w:rFonts w:ascii="Arial" w:cs="Arial" w:eastAsia="Times New Roman" w:hAnsi="Arial"/>
                <w:color w:val="000000"/>
                <w:bdr w:val="none" w:sz="0" w:space="0" w:color="auto" w:frame="true"/>
                <w:lang w:eastAsia="es-CO"/>
              </w:rPr>
              <w:t>. Este elemento hace parte de elementos para el manejo de riesgo y emergencia en los depósitos de archivo.</w:t>
            </w:r>
          </w:p>
        </w:tc>
      </w:tr>
      <w:tr>
        <w:tblPrEx/>
        <w:trPr/>
        <w:tc>
          <w:tcPr>
            <w:tcW w:w="2825" w:type="dxa"/>
            <w:tcBorders/>
            <w:shd w:val="clear" w:color="auto" w:fill="ffffff"/>
            <w:tcMar>
              <w:top w:w="0" w:type="dxa"/>
              <w:left w:w="108" w:type="dxa"/>
              <w:bottom w:w="0" w:type="dxa"/>
              <w:right w:w="108" w:type="dxa"/>
            </w:tcMar>
            <w:vAlign w:val="center"/>
            <w:hideMark/>
          </w:tcPr>
          <w:p>
            <w:pPr>
              <w:pStyle w:val="style0"/>
              <w:spacing w:after="0" w:lineRule="auto" w:line="240"/>
              <w:jc w:val="both"/>
              <w:rPr>
                <w:rFonts w:ascii="Times New Roman" w:cs="Times New Roman" w:eastAsia="Times New Roman" w:hAnsi="Times New Roman"/>
                <w:color w:val="000000"/>
                <w:lang w:eastAsia="es-CO"/>
              </w:rPr>
            </w:pPr>
            <w:r>
              <w:rPr>
                <w:rFonts w:ascii="Arial" w:cs="Arial" w:eastAsia="Times New Roman" w:hAnsi="Arial"/>
                <w:color w:val="000000"/>
                <w:bdr w:val="none" w:sz="0" w:space="0" w:color="auto" w:frame="true"/>
                <w:lang w:val="es-MX" w:eastAsia="es-CO"/>
              </w:rPr>
              <w:t>Sensor de humedad  </w:t>
            </w:r>
          </w:p>
        </w:tc>
        <w:tc>
          <w:tcPr>
            <w:tcW w:w="5993" w:type="dxa"/>
            <w:tcBorders/>
            <w:shd w:val="clear" w:color="auto" w:fill="ffffff"/>
            <w:tcMar>
              <w:top w:w="0" w:type="dxa"/>
              <w:left w:w="108" w:type="dxa"/>
              <w:bottom w:w="0" w:type="dxa"/>
              <w:right w:w="108" w:type="dxa"/>
            </w:tcMar>
            <w:vAlign w:val="center"/>
            <w:hideMark/>
          </w:tcPr>
          <w:p>
            <w:pPr>
              <w:pStyle w:val="style0"/>
              <w:spacing w:after="0" w:lineRule="auto" w:line="240"/>
              <w:jc w:val="both"/>
              <w:rPr>
                <w:rFonts w:ascii="Times New Roman" w:cs="Times New Roman" w:eastAsia="Times New Roman" w:hAnsi="Times New Roman"/>
                <w:color w:val="000000"/>
                <w:lang w:eastAsia="es-CO"/>
              </w:rPr>
            </w:pPr>
            <w:r>
              <w:rPr>
                <w:rFonts w:ascii="Arial" w:cs="Arial" w:eastAsia="Times New Roman" w:hAnsi="Arial"/>
                <w:color w:val="000000"/>
                <w:bdr w:val="none" w:sz="0" w:space="0" w:color="auto" w:frame="true"/>
                <w:lang w:val="es-MX" w:eastAsia="es-CO"/>
              </w:rPr>
              <w:t>Para controlar que en el lugar donde se guardan los documentos cumple con la temperatura adecuada. </w:t>
            </w:r>
          </w:p>
        </w:tc>
      </w:tr>
      <w:tr>
        <w:tblPrEx/>
        <w:trPr/>
        <w:tc>
          <w:tcPr>
            <w:tcW w:w="2825" w:type="dxa"/>
            <w:tcBorders/>
            <w:shd w:val="clear" w:color="auto" w:fill="ffffff"/>
            <w:tcMar>
              <w:top w:w="0" w:type="dxa"/>
              <w:left w:w="108" w:type="dxa"/>
              <w:bottom w:w="0" w:type="dxa"/>
              <w:right w:w="108" w:type="dxa"/>
            </w:tcMar>
            <w:vAlign w:val="center"/>
            <w:hideMark/>
          </w:tcPr>
          <w:p>
            <w:pPr>
              <w:pStyle w:val="style0"/>
              <w:spacing w:after="0" w:lineRule="auto" w:line="240"/>
              <w:jc w:val="both"/>
              <w:rPr>
                <w:rFonts w:ascii="Times New Roman" w:cs="Times New Roman" w:eastAsia="Times New Roman" w:hAnsi="Times New Roman"/>
                <w:color w:val="000000"/>
                <w:lang w:eastAsia="es-CO"/>
              </w:rPr>
            </w:pPr>
            <w:r>
              <w:rPr>
                <w:rFonts w:ascii="Arial" w:cs="Arial" w:eastAsia="Times New Roman" w:hAnsi="Arial"/>
                <w:color w:val="000000"/>
                <w:bdr w:val="none" w:sz="0" w:space="0" w:color="auto" w:frame="true"/>
                <w:lang w:eastAsia="es-CO"/>
              </w:rPr>
              <w:t>Espacio </w:t>
            </w:r>
          </w:p>
        </w:tc>
        <w:tc>
          <w:tcPr>
            <w:tcW w:w="5993" w:type="dxa"/>
            <w:tcBorders/>
            <w:shd w:val="clear" w:color="auto" w:fill="ffffff"/>
            <w:tcMar>
              <w:top w:w="0" w:type="dxa"/>
              <w:left w:w="108" w:type="dxa"/>
              <w:bottom w:w="0" w:type="dxa"/>
              <w:right w:w="108" w:type="dxa"/>
            </w:tcMar>
            <w:vAlign w:val="center"/>
            <w:hideMark/>
          </w:tcPr>
          <w:p>
            <w:pPr>
              <w:pStyle w:val="style0"/>
              <w:spacing w:after="0" w:lineRule="auto" w:line="240"/>
              <w:jc w:val="both"/>
              <w:rPr>
                <w:rFonts w:ascii="Times New Roman" w:cs="Times New Roman" w:eastAsia="Times New Roman" w:hAnsi="Times New Roman"/>
                <w:color w:val="000000"/>
                <w:lang w:eastAsia="es-CO"/>
              </w:rPr>
            </w:pPr>
            <w:r>
              <w:rPr>
                <w:rFonts w:ascii="Arial" w:cs="Arial" w:eastAsia="Times New Roman" w:hAnsi="Arial"/>
                <w:color w:val="000000"/>
                <w:bdr w:val="none" w:sz="0" w:space="0" w:color="auto" w:frame="true"/>
                <w:lang w:val="es-MX" w:eastAsia="es-CO"/>
              </w:rPr>
              <w:t>Es necesario adecuar un espacio para centralizar la documentación y de esta manera tener la información organizada para su posterior consulta.</w:t>
            </w:r>
            <w:r>
              <w:rPr>
                <w:rFonts w:ascii="Arial" w:cs="Arial" w:eastAsia="Times New Roman" w:hAnsi="Arial"/>
                <w:color w:val="000000"/>
                <w:bdr w:val="none" w:sz="0" w:space="0" w:color="auto" w:frame="true"/>
                <w:lang w:eastAsia="es-CO"/>
              </w:rPr>
              <w:t> </w:t>
            </w:r>
          </w:p>
        </w:tc>
      </w:tr>
      <w:tr>
        <w:tblPrEx/>
        <w:trPr/>
        <w:tc>
          <w:tcPr>
            <w:tcW w:w="2825" w:type="dxa"/>
            <w:tcBorders/>
            <w:shd w:val="clear" w:color="auto" w:fill="ffffff"/>
            <w:tcMar>
              <w:top w:w="0" w:type="dxa"/>
              <w:left w:w="108" w:type="dxa"/>
              <w:bottom w:w="0" w:type="dxa"/>
              <w:right w:w="108" w:type="dxa"/>
            </w:tcMar>
            <w:vAlign w:val="center"/>
            <w:hideMark/>
          </w:tcPr>
          <w:p>
            <w:pPr>
              <w:pStyle w:val="style0"/>
              <w:spacing w:after="0" w:lineRule="auto" w:line="240"/>
              <w:jc w:val="both"/>
              <w:rPr>
                <w:rFonts w:ascii="Times New Roman" w:cs="Times New Roman" w:eastAsia="Times New Roman" w:hAnsi="Times New Roman"/>
                <w:color w:val="000000"/>
                <w:lang w:eastAsia="es-CO"/>
              </w:rPr>
            </w:pPr>
            <w:r>
              <w:rPr>
                <w:rFonts w:ascii="Arial" w:cs="Arial" w:eastAsia="Times New Roman" w:hAnsi="Arial"/>
                <w:color w:val="000000"/>
                <w:bdr w:val="none" w:sz="0" w:space="0" w:color="auto" w:frame="true"/>
                <w:lang w:eastAsia="es-CO"/>
              </w:rPr>
              <w:t>Depósitos de archivo  </w:t>
            </w:r>
          </w:p>
        </w:tc>
        <w:tc>
          <w:tcPr>
            <w:tcW w:w="5993" w:type="dxa"/>
            <w:tcBorders/>
            <w:shd w:val="clear" w:color="auto" w:fill="ffffff"/>
            <w:tcMar>
              <w:top w:w="0" w:type="dxa"/>
              <w:left w:w="108" w:type="dxa"/>
              <w:bottom w:w="0" w:type="dxa"/>
              <w:right w:w="108" w:type="dxa"/>
            </w:tcMar>
            <w:vAlign w:val="center"/>
            <w:hideMark/>
          </w:tcPr>
          <w:p>
            <w:pPr>
              <w:pStyle w:val="style0"/>
              <w:spacing w:after="0" w:lineRule="auto" w:line="240"/>
              <w:jc w:val="both"/>
              <w:rPr>
                <w:rFonts w:ascii="Times New Roman" w:cs="Times New Roman" w:eastAsia="Times New Roman" w:hAnsi="Times New Roman"/>
                <w:color w:val="000000"/>
                <w:lang w:eastAsia="es-CO"/>
              </w:rPr>
            </w:pPr>
            <w:r>
              <w:rPr>
                <w:rFonts w:ascii="Arial" w:cs="Arial" w:eastAsia="Times New Roman" w:hAnsi="Arial"/>
                <w:color w:val="000000"/>
                <w:bdr w:val="none" w:sz="0" w:space="0" w:color="auto" w:frame="true"/>
                <w:lang w:eastAsia="es-CO"/>
              </w:rPr>
              <w:t>Estantes amplios y suficientes para almacenar el acervo documental de la Alcaldía Local. Lo anterior, teniendo en cuenta que la documentación no se encuentra centralizada. </w:t>
            </w:r>
          </w:p>
        </w:tc>
      </w:tr>
    </w:tbl>
    <w:p>
      <w:pPr>
        <w:pStyle w:val="style0"/>
        <w:spacing w:after="0"/>
        <w:jc w:val="both"/>
        <w:rPr>
          <w:rFonts w:ascii="Arial" w:cs="Arial" w:hAnsi="Arial"/>
          <w:b/>
          <w:color w:val="000000"/>
          <w:shd w:val="clear" w:color="auto" w:fill="ffffff"/>
        </w:rPr>
      </w:pPr>
    </w:p>
    <w:p>
      <w:pPr>
        <w:pStyle w:val="style0"/>
        <w:rPr>
          <w:rFonts w:ascii="Arial" w:cs="Arial" w:hAnsi="Arial"/>
          <w:lang w:val="es-MX"/>
        </w:rPr>
      </w:pPr>
    </w:p>
    <w:p>
      <w:pPr>
        <w:pStyle w:val="style0"/>
        <w:spacing w:lineRule="auto" w:line="240"/>
        <w:rPr>
          <w:rFonts w:ascii="Arial" w:cs="Arial" w:hAnsi="Arial"/>
          <w:b/>
          <w:lang w:val="es-MX"/>
        </w:rPr>
      </w:pPr>
      <w:r>
        <w:rPr>
          <w:rFonts w:ascii="Arial" w:cs="Arial" w:hAnsi="Arial"/>
          <w:b/>
          <w:lang w:val="es-MX"/>
        </w:rPr>
        <w:t xml:space="preserve">PORCENTAJE </w:t>
      </w:r>
      <w:r>
        <w:rPr>
          <w:rFonts w:ascii="Arial" w:cs="Arial" w:hAnsi="Arial"/>
          <w:b/>
          <w:lang w:val="es-MX"/>
        </w:rPr>
        <w:t>AVANCE ACUMULADO CONTRATADO PDL</w:t>
      </w:r>
    </w:p>
    <w:p>
      <w:pPr>
        <w:pStyle w:val="style0"/>
        <w:rPr>
          <w:rFonts w:ascii="Arial" w:cs="Arial" w:hAnsi="Arial"/>
          <w:lang w:val="es-MX"/>
        </w:rPr>
      </w:pPr>
      <w:r>
        <w:rPr>
          <w:rFonts w:ascii="Arial" w:cs="Arial" w:hAnsi="Arial"/>
          <w:lang w:val="es-MX"/>
        </w:rPr>
        <w:t xml:space="preserve">La Candelaria tiene un avance acumulado alto de contratación del Plan de Desarrollo Local a 2020. </w:t>
      </w:r>
    </w:p>
    <w:p>
      <w:pPr>
        <w:pStyle w:val="style0"/>
        <w:rPr>
          <w:rFonts w:ascii="Arial" w:cs="Arial" w:hAnsi="Arial"/>
          <w:noProof/>
          <w:lang w:eastAsia="es-CO"/>
        </w:rPr>
      </w:pPr>
    </w:p>
    <w:p>
      <w:pPr>
        <w:pStyle w:val="style0"/>
        <w:rPr>
          <w:rFonts w:ascii="Arial" w:cs="Arial" w:hAnsi="Arial"/>
          <w:lang w:val="es-MX"/>
        </w:rPr>
      </w:pPr>
      <w:r>
        <w:rPr>
          <w:rFonts w:ascii="Arial" w:cs="Arial" w:hAnsi="Arial"/>
          <w:noProof/>
          <w:lang w:eastAsia="es-CO"/>
        </w:rPr>
        <w:drawing>
          <wp:inline distL="0" distT="0" distB="0" distR="0">
            <wp:extent cx="5520314" cy="3640346"/>
            <wp:effectExtent l="0" t="0" r="4445" b="0"/>
            <wp:docPr id="1035" name="Imagen 1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n 14"/>
                    <pic:cNvPicPr/>
                  </pic:nvPicPr>
                  <pic:blipFill>
                    <a:blip r:embed="rId13" cstate="print"/>
                    <a:srcRect l="26595" t="32764" r="23360" b="8539"/>
                    <a:stretch/>
                  </pic:blipFill>
                  <pic:spPr>
                    <a:xfrm rot="0">
                      <a:off x="0" y="0"/>
                      <a:ext cx="5520314" cy="3640346"/>
                    </a:xfrm>
                    <a:prstGeom prst="rect"/>
                    <a:ln>
                      <a:noFill/>
                    </a:ln>
                  </pic:spPr>
                </pic:pic>
              </a:graphicData>
            </a:graphic>
          </wp:inline>
        </w:drawing>
      </w:r>
    </w:p>
    <w:p>
      <w:pPr>
        <w:pStyle w:val="style0"/>
        <w:jc w:val="center"/>
        <w:rPr>
          <w:rFonts w:ascii="Arial" w:cs="Arial" w:hAnsi="Arial"/>
          <w:sz w:val="16"/>
          <w:szCs w:val="16"/>
          <w:lang w:val="es-MX"/>
        </w:rPr>
      </w:pPr>
      <w:r>
        <w:rPr>
          <w:rFonts w:ascii="Arial" w:cs="Arial" w:hAnsi="Arial"/>
          <w:sz w:val="16"/>
          <w:szCs w:val="16"/>
          <w:lang w:val="es-MX"/>
        </w:rPr>
        <w:t>FUENTE: INDICADORES DE DIAGNOSTICO LOCAL PARA LAS COMPETENCIAS DEL</w:t>
      </w:r>
      <w:r>
        <w:rPr>
          <w:rFonts w:ascii="Arial" w:cs="Arial" w:hAnsi="Arial"/>
          <w:sz w:val="16"/>
          <w:szCs w:val="16"/>
          <w:lang w:val="es-MX"/>
        </w:rPr>
        <w:t xml:space="preserve"> </w:t>
      </w:r>
      <w:r>
        <w:rPr>
          <w:rFonts w:ascii="Arial" w:cs="Arial" w:hAnsi="Arial"/>
          <w:sz w:val="16"/>
          <w:szCs w:val="16"/>
          <w:lang w:val="es-MX"/>
        </w:rPr>
        <w:t>ACUERDO 740 DE 2019</w:t>
      </w:r>
    </w:p>
    <w:p>
      <w:pPr>
        <w:pStyle w:val="style0"/>
        <w:jc w:val="center"/>
        <w:rPr>
          <w:rFonts w:ascii="Arial" w:cs="Arial" w:hAnsi="Arial"/>
          <w:sz w:val="16"/>
          <w:szCs w:val="16"/>
          <w:lang w:val="es-MX"/>
        </w:rPr>
      </w:pPr>
    </w:p>
    <w:p>
      <w:pPr>
        <w:pStyle w:val="style0"/>
        <w:jc w:val="center"/>
        <w:rPr>
          <w:rFonts w:ascii="Arial" w:cs="Arial" w:hAnsi="Arial"/>
          <w:sz w:val="16"/>
          <w:szCs w:val="16"/>
          <w:lang w:val="es-MX"/>
        </w:rPr>
      </w:pPr>
    </w:p>
    <w:p>
      <w:pPr>
        <w:pStyle w:val="style0"/>
        <w:jc w:val="center"/>
        <w:rPr>
          <w:rFonts w:ascii="Arial" w:cs="Arial" w:hAnsi="Arial"/>
          <w:sz w:val="16"/>
          <w:szCs w:val="16"/>
          <w:lang w:val="es-MX"/>
        </w:rPr>
      </w:pPr>
    </w:p>
    <w:p>
      <w:pPr>
        <w:pStyle w:val="style0"/>
        <w:jc w:val="center"/>
        <w:rPr>
          <w:rFonts w:ascii="Arial" w:cs="Arial" w:hAnsi="Arial"/>
          <w:sz w:val="16"/>
          <w:szCs w:val="16"/>
          <w:lang w:val="es-MX"/>
        </w:rPr>
      </w:pPr>
    </w:p>
    <w:bookmarkStart w:id="18" w:name="_Toc47364978"/>
    <w:bookmarkStart w:id="19" w:name="_Toc47477391"/>
    <w:p>
      <w:pPr>
        <w:pStyle w:val="style3"/>
        <w:rPr>
          <w:rFonts w:ascii="Arial" w:cs="Arial" w:hAnsi="Arial"/>
          <w:color w:val="auto"/>
          <w:sz w:val="22"/>
          <w:szCs w:val="22"/>
          <w:lang w:val="es-MX"/>
        </w:rPr>
      </w:pPr>
      <w:r>
        <w:rPr>
          <w:rFonts w:ascii="Arial" w:cs="Arial" w:hAnsi="Arial"/>
          <w:color w:val="auto"/>
          <w:sz w:val="22"/>
          <w:szCs w:val="22"/>
          <w:lang w:val="es-MX"/>
        </w:rPr>
        <w:t>INSPECCIÓN VIGILANCIA Y CONTROL</w:t>
      </w:r>
      <w:bookmarkEnd w:id="18"/>
      <w:bookmarkEnd w:id="19"/>
      <w:r>
        <w:rPr>
          <w:rFonts w:ascii="Arial" w:cs="Arial" w:hAnsi="Arial"/>
          <w:color w:val="auto"/>
          <w:sz w:val="22"/>
          <w:szCs w:val="22"/>
          <w:lang w:val="es-MX"/>
        </w:rPr>
        <w:t xml:space="preserve"> </w:t>
      </w:r>
    </w:p>
    <w:p>
      <w:pPr>
        <w:pStyle w:val="style0"/>
        <w:rPr>
          <w:lang w:val="es-MX"/>
        </w:rPr>
      </w:pPr>
    </w:p>
    <w:p>
      <w:pPr>
        <w:pStyle w:val="style0"/>
        <w:jc w:val="both"/>
        <w:rPr>
          <w:rFonts w:ascii="Arial" w:cs="Arial" w:hAnsi="Arial"/>
          <w:noProof/>
          <w:lang w:eastAsia="es-CO"/>
        </w:rPr>
      </w:pPr>
      <w:r>
        <w:rPr>
          <w:rFonts w:ascii="Arial" w:cs="Arial" w:hAnsi="Arial"/>
          <w:noProof/>
          <w:lang w:eastAsia="es-CO"/>
        </w:rPr>
        <w:t xml:space="preserve">El Área de Gestión Jurídica Policiva ha enfocado sus esfuerzos en la realización de actividades de Inspección, Vigilancia y Control de establecimientos de comercio, de espacio público y control urbano. A su vez- en el marco del actual estado de emergencia- ha liderado y acompañado operativos de verificación del cumplimiento de protocolos de bioseguridad en las obras de infraestructura y en los establecimientos que desarrollan actividades de manufactura y que se encuentran habilitadas para reactivarse económicamente. Asimismo, ha liderado y apoyado visitas de control de precios y operativos de sensibilización a vendedores informales en la carrera séptima. </w:t>
      </w:r>
    </w:p>
    <w:p>
      <w:pPr>
        <w:pStyle w:val="style0"/>
        <w:spacing w:before="240"/>
        <w:jc w:val="both"/>
        <w:rPr>
          <w:rFonts w:ascii="Arial" w:cs="Arial" w:hAnsi="Arial"/>
          <w:noProof/>
          <w:lang w:eastAsia="es-CO"/>
        </w:rPr>
      </w:pPr>
      <w:r>
        <w:rPr>
          <w:rFonts w:ascii="Arial" w:cs="Arial" w:hAnsi="Arial"/>
          <w:noProof/>
          <w:lang w:eastAsia="es-CO"/>
        </w:rPr>
        <w:t xml:space="preserve">En total, se han realizado veintisiete (27) operativos correspondientes a las siguientes temáticas:  </w:t>
      </w:r>
    </w:p>
    <w:p>
      <w:pPr>
        <w:pStyle w:val="style179"/>
        <w:numPr>
          <w:ilvl w:val="0"/>
          <w:numId w:val="5"/>
        </w:numPr>
        <w:spacing w:before="240"/>
        <w:ind w:left="924" w:right="567" w:hanging="357"/>
        <w:jc w:val="both"/>
        <w:rPr>
          <w:rFonts w:ascii="Arial" w:cs="Arial" w:hAnsi="Arial"/>
          <w:noProof/>
          <w:lang w:eastAsia="es-CO"/>
        </w:rPr>
      </w:pPr>
      <w:r>
        <w:rPr>
          <w:rFonts w:ascii="Arial" w:cs="Arial" w:hAnsi="Arial"/>
          <w:noProof/>
          <w:lang w:eastAsia="es-CO"/>
        </w:rPr>
        <w:t xml:space="preserve">Control Urbano: Once operativos donde se visitaron 29 obras. </w:t>
      </w:r>
    </w:p>
    <w:p>
      <w:pPr>
        <w:pStyle w:val="style179"/>
        <w:numPr>
          <w:ilvl w:val="0"/>
          <w:numId w:val="5"/>
        </w:numPr>
        <w:spacing w:before="240"/>
        <w:ind w:left="924" w:right="567" w:hanging="357"/>
        <w:jc w:val="both"/>
        <w:rPr>
          <w:rFonts w:ascii="Arial" w:cs="Arial" w:hAnsi="Arial"/>
          <w:noProof/>
          <w:lang w:eastAsia="es-CO"/>
        </w:rPr>
      </w:pPr>
      <w:r>
        <w:rPr>
          <w:rFonts w:ascii="Arial" w:cs="Arial" w:hAnsi="Arial"/>
          <w:noProof/>
          <w:lang w:eastAsia="es-CO"/>
        </w:rPr>
        <w:t xml:space="preserve">Espacio Público: Ocho operativos. </w:t>
      </w:r>
    </w:p>
    <w:p>
      <w:pPr>
        <w:pStyle w:val="style179"/>
        <w:numPr>
          <w:ilvl w:val="0"/>
          <w:numId w:val="5"/>
        </w:numPr>
        <w:spacing w:before="240"/>
        <w:ind w:left="924" w:right="567" w:hanging="357"/>
        <w:jc w:val="both"/>
        <w:rPr>
          <w:rFonts w:ascii="Arial" w:cs="Arial" w:hAnsi="Arial"/>
          <w:noProof/>
          <w:lang w:eastAsia="es-CO"/>
        </w:rPr>
      </w:pPr>
      <w:r>
        <w:rPr>
          <w:rFonts w:ascii="Arial" w:cs="Arial" w:hAnsi="Arial"/>
          <w:noProof/>
          <w:lang w:eastAsia="es-CO"/>
        </w:rPr>
        <w:t xml:space="preserve">Establecimientos de Comercio: Ocho operativos donde se visitaron 40 establecimientos. </w:t>
      </w:r>
    </w:p>
    <w:p>
      <w:pPr>
        <w:pStyle w:val="style0"/>
        <w:spacing w:before="240"/>
        <w:jc w:val="both"/>
        <w:rPr>
          <w:rFonts w:ascii="Arial" w:cs="Arial" w:hAnsi="Arial"/>
          <w:noProof/>
          <w:lang w:eastAsia="es-CO"/>
        </w:rPr>
      </w:pPr>
      <w:r>
        <w:rPr>
          <w:rFonts w:ascii="Arial" w:cs="Arial" w:hAnsi="Arial"/>
          <w:noProof/>
          <w:lang w:eastAsia="es-CO"/>
        </w:rPr>
        <w:t xml:space="preserve">Además, bajo la coordinación del IPES ha acompañado tres (3) jornadas de sensibilización de vendedores informales que ejercen su actividad en el corredor de la carrera séptima, en los cuales se ha hecho entrega de elementos de bioseguridad y se ha reiterado la importancia de guardar las medidas de distanciamiento social. </w:t>
      </w:r>
    </w:p>
    <w:p>
      <w:pPr>
        <w:pStyle w:val="style0"/>
        <w:spacing w:before="240"/>
        <w:jc w:val="both"/>
        <w:rPr>
          <w:rFonts w:ascii="Arial" w:cs="Arial" w:hAnsi="Arial"/>
          <w:noProof/>
          <w:lang w:eastAsia="es-CO"/>
        </w:rPr>
      </w:pPr>
      <w:r>
        <w:rPr>
          <w:rFonts w:ascii="Arial" w:cs="Arial" w:hAnsi="Arial"/>
          <w:noProof/>
          <w:lang w:eastAsia="es-CO"/>
        </w:rPr>
        <w:t xml:space="preserve">Para el desarrollo de dichos operativos se ha contado con la presencia de personal del Área de Gestión Jurídica Policiva, entre abogados, arquitectos y personal de apoyo- quienes- con las debidas medidas de seguridad han conformado equipos de trabajo para la realización de los operativos. </w:t>
      </w:r>
    </w:p>
    <w:p>
      <w:pPr>
        <w:pStyle w:val="style0"/>
        <w:spacing w:before="240"/>
        <w:jc w:val="both"/>
        <w:rPr>
          <w:rFonts w:ascii="Arial" w:cs="Arial" w:hAnsi="Arial"/>
          <w:noProof/>
          <w:lang w:eastAsia="es-CO"/>
        </w:rPr>
      </w:pPr>
      <w:r>
        <w:rPr>
          <w:rFonts w:ascii="Arial" w:cs="Arial" w:hAnsi="Arial"/>
          <w:noProof/>
          <w:lang w:eastAsia="es-CO"/>
        </w:rPr>
        <w:t xml:space="preserve">Resulta importante destacar que el enfoque dado a dichas actividades de IVC ha sido principalmente pedagógico- ello- sin perjuicio de las atribuciones en materia de </w:t>
      </w:r>
      <w:r>
        <w:rPr>
          <w:rFonts w:ascii="Arial" w:cs="Arial" w:hAnsi="Arial"/>
          <w:color w:val="000000"/>
          <w:shd w:val="clear" w:color="auto" w:fill="ffffff"/>
        </w:rPr>
        <w:t xml:space="preserve">imposición de medidas correctivas correspondientes. </w:t>
      </w:r>
      <w:r>
        <w:rPr>
          <w:rFonts w:ascii="Arial" w:cs="Arial" w:hAnsi="Arial"/>
          <w:noProof/>
          <w:lang w:eastAsia="es-CO"/>
        </w:rPr>
        <w:t>No obstante, conscientes de las dificiles condiciones sociales y económicas que actualmente vive gran parte de la población bogotana y candelaria, se ha apuntado a que el conocimiento de las actuaciones se dé bajo una óptica pedagogica donde se logre la adecuación a la norma a partir de la reconvención.</w:t>
      </w:r>
    </w:p>
    <w:p>
      <w:pPr>
        <w:pStyle w:val="style0"/>
        <w:spacing w:before="240"/>
        <w:jc w:val="both"/>
        <w:rPr>
          <w:rFonts w:ascii="Arial" w:cs="Arial" w:hAnsi="Arial"/>
          <w:noProof/>
          <w:lang w:eastAsia="es-CO"/>
        </w:rPr>
      </w:pPr>
      <w:r>
        <w:rPr>
          <w:rFonts w:ascii="Arial" w:cs="Arial" w:hAnsi="Arial"/>
          <w:noProof/>
          <w:lang w:eastAsia="es-CO"/>
        </w:rPr>
        <w:t xml:space="preserve">Sobre el propósito de los operativos Inspección, Vigilancia y Control, el mismo es garantizar la adecuación a las normas urbanísticas, de obras, de protección del patrimonio cultural, así como las de espacio público o de establecimientos de comercio. Tambien- en el marco de la Pandemia por COVID 19- se procura garantizar el cumplimiento de las normas sanitarias con el fin de salvaguardar la salud de la población que interviene en las distintas actividades vigiladas y de la generalidad de habitantes de la Candelaria. </w:t>
      </w:r>
    </w:p>
    <w:p>
      <w:pPr>
        <w:pStyle w:val="style0"/>
        <w:spacing w:before="240"/>
        <w:jc w:val="both"/>
        <w:rPr>
          <w:rFonts w:ascii="Arial" w:cs="Arial" w:hAnsi="Arial"/>
          <w:noProof/>
          <w:lang w:eastAsia="es-CO"/>
        </w:rPr>
      </w:pPr>
      <w:r>
        <w:rPr>
          <w:rFonts w:ascii="Arial" w:cs="Arial" w:hAnsi="Arial"/>
          <w:noProof/>
          <w:lang w:eastAsia="es-CO"/>
        </w:rPr>
        <w:t>A continuación se presenta una sintesis de las actividades de IVC desarrolladas por el Área de Gestión Jurídica Policiva de la Alcaldía Local de la Candelaria.</w:t>
      </w:r>
    </w:p>
    <w:p>
      <w:pPr>
        <w:pStyle w:val="style0"/>
        <w:spacing w:before="240" w:after="0"/>
        <w:ind w:left="-284" w:right="-284"/>
        <w:jc w:val="center"/>
        <w:rPr>
          <w:noProof/>
          <w:lang w:eastAsia="es-CO"/>
        </w:rPr>
      </w:pPr>
      <w:r>
        <w:rPr>
          <w:noProof/>
          <w:lang w:eastAsia="es-CO"/>
        </w:rPr>
        <w:drawing>
          <wp:inline distL="0" distT="0" distB="0" distR="0">
            <wp:extent cx="4762500" cy="2742829"/>
            <wp:effectExtent l="0" t="0" r="0" b="635"/>
            <wp:docPr id="1036" name="Imagen 4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n 46"/>
                    <pic:cNvPicPr/>
                  </pic:nvPicPr>
                  <pic:blipFill>
                    <a:blip r:embed="rId14" cstate="print"/>
                    <a:srcRect l="0" t="0" r="0" b="0"/>
                    <a:stretch/>
                  </pic:blipFill>
                  <pic:spPr>
                    <a:xfrm rot="0">
                      <a:off x="0" y="0"/>
                      <a:ext cx="4762500" cy="2742829"/>
                    </a:xfrm>
                    <a:prstGeom prst="rect"/>
                  </pic:spPr>
                </pic:pic>
              </a:graphicData>
            </a:graphic>
          </wp:inline>
        </w:drawing>
      </w:r>
    </w:p>
    <w:p>
      <w:pPr>
        <w:pStyle w:val="style0"/>
        <w:spacing w:after="0"/>
        <w:jc w:val="center"/>
        <w:rPr>
          <w:rFonts w:ascii="Arial" w:cs="Arial" w:hAnsi="Arial"/>
          <w:noProof/>
          <w:sz w:val="16"/>
          <w:szCs w:val="16"/>
          <w:lang w:eastAsia="es-CO"/>
        </w:rPr>
      </w:pPr>
      <w:r>
        <w:rPr>
          <w:rFonts w:ascii="Arial" w:cs="Arial" w:hAnsi="Arial"/>
          <w:noProof/>
          <w:sz w:val="16"/>
          <w:szCs w:val="16"/>
          <w:highlight w:val="yellow"/>
          <w:lang w:eastAsia="es-CO"/>
        </w:rPr>
        <w:t>Fuente: área de Gestión Policiva</w:t>
      </w:r>
    </w:p>
    <w:p>
      <w:pPr>
        <w:pStyle w:val="style0"/>
        <w:spacing w:after="0"/>
        <w:jc w:val="center"/>
        <w:rPr>
          <w:rFonts w:ascii="Arial" w:cs="Arial" w:hAnsi="Arial"/>
          <w:noProof/>
          <w:sz w:val="16"/>
          <w:szCs w:val="16"/>
          <w:lang w:eastAsia="es-CO"/>
        </w:rPr>
      </w:pPr>
    </w:p>
    <w:p>
      <w:pPr>
        <w:pStyle w:val="style0"/>
        <w:spacing w:after="0"/>
        <w:jc w:val="center"/>
        <w:rPr>
          <w:rFonts w:ascii="Arial" w:cs="Arial" w:hAnsi="Arial"/>
          <w:noProof/>
          <w:sz w:val="16"/>
          <w:szCs w:val="16"/>
          <w:lang w:eastAsia="es-CO"/>
        </w:rPr>
      </w:pPr>
    </w:p>
    <w:p>
      <w:pPr>
        <w:pStyle w:val="style0"/>
        <w:spacing w:after="0"/>
        <w:jc w:val="center"/>
        <w:rPr>
          <w:noProof/>
          <w:lang w:eastAsia="es-CO"/>
        </w:rPr>
      </w:pPr>
      <w:r>
        <w:rPr>
          <w:noProof/>
          <w:lang w:eastAsia="es-CO"/>
        </w:rPr>
        <w:drawing>
          <wp:inline distL="0" distT="0" distB="0" distR="0">
            <wp:extent cx="3809999" cy="3796513"/>
            <wp:effectExtent l="57150" t="57150" r="57150" b="52070"/>
            <wp:docPr id="1037" name="Imagen 4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Imagen 47"/>
                    <pic:cNvPicPr/>
                  </pic:nvPicPr>
                  <pic:blipFill>
                    <a:blip r:embed="rId15" cstate="print"/>
                    <a:srcRect l="0" t="0" r="0" b="0"/>
                    <a:stretch/>
                  </pic:blipFill>
                  <pic:spPr>
                    <a:xfrm rot="0">
                      <a:off x="0" y="0"/>
                      <a:ext cx="3809999" cy="3796513"/>
                    </a:xfrm>
                    <a:prstGeom prst="rect"/>
                    <a:ln cmpd="sng" cap="flat" w="53975">
                      <a:solidFill>
                        <a:srgbClr val="5b9bd5">
                          <a:alpha val="96000"/>
                        </a:srgbClr>
                      </a:solidFill>
                      <a:prstDash val="solid"/>
                      <a:round/>
                      <a:headEnd len="med" w="med" type="none"/>
                      <a:tailEnd len="med" w="med" type="none"/>
                    </a:ln>
                    <a:effectLst>
                      <a:softEdge rad="25400"/>
                    </a:effectLst>
                  </pic:spPr>
                </pic:pic>
              </a:graphicData>
            </a:graphic>
          </wp:inline>
        </w:drawing>
      </w:r>
    </w:p>
    <w:p>
      <w:pPr>
        <w:pStyle w:val="style0"/>
        <w:spacing w:after="0"/>
        <w:jc w:val="center"/>
        <w:rPr>
          <w:rFonts w:ascii="Arial" w:cs="Arial" w:hAnsi="Arial"/>
          <w:noProof/>
          <w:sz w:val="16"/>
          <w:szCs w:val="16"/>
          <w:lang w:eastAsia="es-CO"/>
        </w:rPr>
      </w:pPr>
      <w:r>
        <w:rPr>
          <w:rFonts w:ascii="Arial" w:cs="Arial" w:hAnsi="Arial"/>
          <w:noProof/>
          <w:sz w:val="16"/>
          <w:szCs w:val="16"/>
          <w:highlight w:val="yellow"/>
          <w:lang w:eastAsia="es-CO"/>
        </w:rPr>
        <w:t>Fuente: área de Gestión Policiva</w:t>
      </w:r>
    </w:p>
    <w:p>
      <w:pPr>
        <w:pStyle w:val="style0"/>
        <w:jc w:val="center"/>
        <w:rPr>
          <w:noProof/>
          <w:lang w:eastAsia="es-CO"/>
        </w:rPr>
      </w:pPr>
    </w:p>
    <w:p>
      <w:pPr>
        <w:pStyle w:val="style0"/>
        <w:spacing w:before="240"/>
        <w:jc w:val="both"/>
        <w:rPr>
          <w:rFonts w:ascii="Arial" w:cs="Arial" w:hAnsi="Arial"/>
          <w:noProof/>
          <w:lang w:eastAsia="es-CO"/>
        </w:rPr>
      </w:pPr>
      <w:r>
        <w:rPr>
          <w:rFonts w:ascii="Arial" w:cs="Arial" w:hAnsi="Arial"/>
          <w:noProof/>
          <w:lang w:eastAsia="es-CO"/>
        </w:rPr>
        <w:t xml:space="preserve"> </w:t>
      </w:r>
      <w:r>
        <w:rPr>
          <w:rFonts w:ascii="Arial" w:cs="Arial" w:hAnsi="Arial"/>
          <w:noProof/>
          <w:lang w:eastAsia="es-CO"/>
        </w:rPr>
        <w:t xml:space="preserve">Según la Secretaría Distrital de Planeación, </w:t>
      </w:r>
      <w:r>
        <w:rPr>
          <w:rFonts w:ascii="Arial" w:cs="Arial" w:hAnsi="Arial"/>
        </w:rPr>
        <w:t>f</w:t>
      </w:r>
      <w:r>
        <w:rPr>
          <w:rFonts w:ascii="Arial" w:cs="Arial" w:hAnsi="Arial"/>
        </w:rPr>
        <w:t>rente a las temáticas de Ins</w:t>
      </w:r>
      <w:r>
        <w:rPr>
          <w:rFonts w:ascii="Arial" w:cs="Arial" w:hAnsi="Arial"/>
        </w:rPr>
        <w:t>pección, Vigilancia y Control, La L</w:t>
      </w:r>
      <w:r>
        <w:rPr>
          <w:rFonts w:ascii="Arial" w:cs="Arial" w:hAnsi="Arial"/>
        </w:rPr>
        <w:t xml:space="preserve">ocalidad cuenta con un nivel bajo de ocupaciones ilegales, pero el más alto en cuanto a comparendos, siendo el control policivo un aspecto importante </w:t>
      </w:r>
      <w:r>
        <w:rPr>
          <w:rFonts w:ascii="Arial" w:cs="Arial" w:hAnsi="Arial"/>
        </w:rPr>
        <w:t>para la gestión local en esta temática.</w:t>
      </w:r>
    </w:p>
    <w:p>
      <w:pPr>
        <w:pStyle w:val="style0"/>
        <w:rPr>
          <w:rFonts w:ascii="Arial" w:cs="Arial" w:hAnsi="Arial"/>
          <w:lang w:val="es-MX"/>
        </w:rPr>
      </w:pPr>
      <w:r>
        <w:rPr>
          <w:rFonts w:ascii="Arial" w:cs="Arial" w:hAnsi="Arial"/>
          <w:noProof/>
          <w:lang w:eastAsia="es-CO"/>
        </w:rPr>
        <w:drawing>
          <wp:inline distL="0" distT="0" distB="0" distR="0">
            <wp:extent cx="5624423" cy="3552297"/>
            <wp:effectExtent l="0" t="0" r="0" b="0"/>
            <wp:docPr id="1038" name="Imagen 1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Imagen 15"/>
                    <pic:cNvPicPr/>
                  </pic:nvPicPr>
                  <pic:blipFill>
                    <a:blip r:embed="rId16" cstate="print"/>
                    <a:srcRect l="26612" t="21012" r="23239" b="22653"/>
                    <a:stretch/>
                  </pic:blipFill>
                  <pic:spPr>
                    <a:xfrm rot="0">
                      <a:off x="0" y="0"/>
                      <a:ext cx="5624423" cy="3552297"/>
                    </a:xfrm>
                    <a:prstGeom prst="rect"/>
                    <a:ln>
                      <a:noFill/>
                    </a:ln>
                  </pic:spPr>
                </pic:pic>
              </a:graphicData>
            </a:graphic>
          </wp:inline>
        </w:drawing>
      </w:r>
    </w:p>
    <w:p>
      <w:pPr>
        <w:pStyle w:val="style0"/>
        <w:jc w:val="center"/>
        <w:rPr>
          <w:rFonts w:ascii="Arial" w:cs="Arial" w:hAnsi="Arial"/>
          <w:sz w:val="16"/>
          <w:szCs w:val="16"/>
          <w:lang w:val="es-MX"/>
        </w:rPr>
      </w:pPr>
      <w:r>
        <w:rPr>
          <w:rFonts w:ascii="Arial" w:cs="Arial" w:hAnsi="Arial"/>
          <w:sz w:val="16"/>
          <w:szCs w:val="16"/>
          <w:lang w:val="es-MX"/>
        </w:rPr>
        <w:t>FUENTE: INDICADORES DE DIAGNOSTICO LOCAL PARA LAS COMPETENCIAS DEL</w:t>
      </w:r>
      <w:r>
        <w:rPr>
          <w:rFonts w:ascii="Arial" w:cs="Arial" w:hAnsi="Arial"/>
          <w:sz w:val="16"/>
          <w:szCs w:val="16"/>
          <w:lang w:val="es-MX"/>
        </w:rPr>
        <w:t xml:space="preserve"> </w:t>
      </w:r>
      <w:r>
        <w:rPr>
          <w:rFonts w:ascii="Arial" w:cs="Arial" w:hAnsi="Arial"/>
          <w:sz w:val="16"/>
          <w:szCs w:val="16"/>
          <w:lang w:val="es-MX"/>
        </w:rPr>
        <w:t>ACUERDO 740 DE 2019</w:t>
      </w:r>
    </w:p>
    <w:p>
      <w:pPr>
        <w:pStyle w:val="style0"/>
        <w:rPr>
          <w:rFonts w:ascii="Arial" w:cs="Arial" w:hAnsi="Arial"/>
          <w:lang w:val="es-MX"/>
        </w:rPr>
      </w:pPr>
    </w:p>
    <w:p>
      <w:pPr>
        <w:pStyle w:val="style0"/>
        <w:rPr>
          <w:rFonts w:ascii="Arial" w:cs="Arial" w:hAnsi="Arial"/>
          <w:lang w:val="es-MX"/>
        </w:rPr>
      </w:pPr>
    </w:p>
    <w:bookmarkStart w:id="20" w:name="_Toc47364979"/>
    <w:bookmarkStart w:id="21" w:name="_Toc47477392"/>
    <w:p>
      <w:pPr>
        <w:pStyle w:val="style3"/>
        <w:rPr>
          <w:rFonts w:ascii="Arial" w:cs="Arial" w:hAnsi="Arial"/>
          <w:color w:val="auto"/>
          <w:sz w:val="22"/>
          <w:szCs w:val="22"/>
          <w:lang w:val="es-MX"/>
        </w:rPr>
      </w:pPr>
      <w:r>
        <w:rPr>
          <w:rFonts w:ascii="Arial" w:cs="Arial" w:hAnsi="Arial"/>
          <w:color w:val="auto"/>
          <w:sz w:val="22"/>
          <w:szCs w:val="22"/>
          <w:lang w:val="es-MX"/>
        </w:rPr>
        <w:t>SUBSIDIO TIPO</w:t>
      </w:r>
      <w:bookmarkEnd w:id="20"/>
      <w:bookmarkEnd w:id="21"/>
      <w:r>
        <w:rPr>
          <w:rFonts w:ascii="Arial" w:cs="Arial" w:hAnsi="Arial"/>
          <w:color w:val="auto"/>
          <w:sz w:val="22"/>
          <w:szCs w:val="22"/>
          <w:lang w:val="es-MX"/>
        </w:rPr>
        <w:t xml:space="preserve"> </w:t>
      </w:r>
      <w:r>
        <w:rPr>
          <w:rFonts w:ascii="Arial" w:cs="Arial" w:hAnsi="Arial"/>
          <w:color w:val="auto"/>
          <w:sz w:val="22"/>
          <w:szCs w:val="22"/>
          <w:lang w:val="es-MX"/>
        </w:rPr>
        <w:t>C</w:t>
      </w:r>
    </w:p>
    <w:p>
      <w:pPr>
        <w:pStyle w:val="style0"/>
        <w:rPr>
          <w:rFonts w:ascii="Arial" w:cs="Arial" w:hAnsi="Arial"/>
          <w:lang w:val="es-MX"/>
        </w:rPr>
      </w:pPr>
      <w:r>
        <w:rPr>
          <w:rFonts w:ascii="Arial" w:cs="Arial" w:hAnsi="Arial"/>
          <w:lang w:val="es-MX"/>
        </w:rPr>
        <w:t xml:space="preserve">Ocupa el noveno lugar en porcentaje de personas de más de 65 años en situación de pobreza monetaria. </w:t>
      </w:r>
    </w:p>
    <w:p>
      <w:pPr>
        <w:pStyle w:val="style0"/>
        <w:jc w:val="center"/>
        <w:rPr>
          <w:rFonts w:ascii="Arial" w:cs="Arial" w:hAnsi="Arial"/>
          <w:lang w:val="es-MX"/>
        </w:rPr>
      </w:pPr>
      <w:r>
        <w:rPr>
          <w:rFonts w:ascii="Arial" w:cs="Arial" w:hAnsi="Arial"/>
          <w:noProof/>
          <w:lang w:eastAsia="es-CO"/>
        </w:rPr>
        <w:drawing>
          <wp:inline distL="0" distT="0" distB="0" distR="0">
            <wp:extent cx="5267325" cy="3000375"/>
            <wp:effectExtent l="0" t="0" r="9525" b="9525"/>
            <wp:docPr id="1039" name="Imagen 4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Imagen 43"/>
                    <pic:cNvPicPr/>
                  </pic:nvPicPr>
                  <pic:blipFill>
                    <a:blip r:embed="rId17" cstate="print"/>
                    <a:srcRect l="29631" t="31697" r="28129" b="17891"/>
                    <a:stretch/>
                  </pic:blipFill>
                  <pic:spPr>
                    <a:xfrm rot="0">
                      <a:off x="0" y="0"/>
                      <a:ext cx="5267325" cy="3000375"/>
                    </a:xfrm>
                    <a:prstGeom prst="rect"/>
                    <a:ln>
                      <a:noFill/>
                    </a:ln>
                  </pic:spPr>
                </pic:pic>
              </a:graphicData>
            </a:graphic>
          </wp:inline>
        </w:drawing>
      </w:r>
      <w:r>
        <w:rPr>
          <w:rFonts w:ascii="Arial" w:cs="Arial" w:hAnsi="Arial"/>
          <w:lang w:val="es-MX"/>
        </w:rPr>
        <w:t>FUENTE: INDICADORES DE DIAGNOSTICO LOCAL, SDP 2019</w:t>
      </w:r>
    </w:p>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El índice de pobreza multidimensional en porcentaje de la población es 3,4%. Las personas mayores de 60 años de la localidad de La Candelaria se ocupan principalmente en la realización de oficios del hogar con un 41.25%, trabajando el 28.40%, en una actividad remunerada el 26.62%, percibiendo pensión el 13.21%, </w:t>
      </w:r>
      <w:r>
        <w:rPr>
          <w:rFonts w:ascii="Arial" w:cs="Arial" w:eastAsia="Times New Roman" w:hAnsi="Arial"/>
          <w:lang w:val="es-MX"/>
        </w:rPr>
        <w:t xml:space="preserve">con discapacidad </w:t>
      </w:r>
      <w:r>
        <w:rPr>
          <w:rFonts w:ascii="Arial" w:cs="Arial" w:eastAsia="Times New Roman" w:hAnsi="Arial"/>
          <w:lang w:val="es-MX"/>
        </w:rPr>
        <w:t>para trabajar el 13.21% y el 1.38% se encontraban buscando trabajo.</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La situación de salud de las personas mayores de 60 años de la Localidad de La Candelaria</w:t>
      </w:r>
      <w:r>
        <w:rPr>
          <w:rFonts w:ascii="Arial" w:cs="Arial" w:eastAsia="Times New Roman" w:hAnsi="Arial"/>
          <w:lang w:val="es-MX"/>
        </w:rPr>
        <w:t xml:space="preserve">, con reporte del </w:t>
      </w:r>
      <w:r>
        <w:rPr>
          <w:rFonts w:ascii="Arial" w:cs="Arial" w:eastAsia="Times New Roman" w:hAnsi="Arial"/>
          <w:lang w:val="es-MX"/>
        </w:rPr>
        <w:t xml:space="preserve">año 2015 </w:t>
      </w:r>
      <w:r>
        <w:rPr>
          <w:rFonts w:ascii="Arial" w:cs="Arial" w:eastAsia="Times New Roman" w:hAnsi="Arial"/>
          <w:lang w:val="es-MX"/>
        </w:rPr>
        <w:t xml:space="preserve">es </w:t>
      </w:r>
      <w:r>
        <w:rPr>
          <w:rFonts w:ascii="Arial" w:cs="Arial" w:eastAsia="Times New Roman" w:hAnsi="Arial"/>
          <w:lang w:val="es-MX"/>
        </w:rPr>
        <w:t>la siguiente: el 60.39% de las personas mayores de localidad padece alguna enfermedad crónica, el 20.72% tiene al menos una limitación permanente y el 4.86% de las personas mayores de 60 años no tiene cobertura de servicios de salud.</w:t>
      </w:r>
    </w:p>
    <w:p>
      <w:pPr>
        <w:pStyle w:val="style0"/>
        <w:spacing w:after="0" w:lineRule="auto" w:line="240"/>
        <w:jc w:val="both"/>
        <w:rPr>
          <w:rFonts w:ascii="Arial" w:cs="Arial" w:eastAsia="Times New Roman" w:hAnsi="Arial"/>
          <w:lang w:val="es-MX"/>
        </w:rPr>
      </w:pPr>
    </w:p>
    <w:p>
      <w:pPr>
        <w:pStyle w:val="style0"/>
        <w:rPr>
          <w:rFonts w:ascii="Arial" w:cs="Arial" w:hAnsi="Arial"/>
          <w:lang w:val="es-MX"/>
        </w:rPr>
      </w:pPr>
    </w:p>
    <w:bookmarkStart w:id="22" w:name="_Toc47364980"/>
    <w:bookmarkStart w:id="23" w:name="_Toc47477393"/>
    <w:p>
      <w:pPr>
        <w:pStyle w:val="style3"/>
        <w:rPr>
          <w:rFonts w:ascii="Arial" w:cs="Arial" w:eastAsia="Times New Roman" w:hAnsi="Arial"/>
          <w:color w:val="auto"/>
          <w:sz w:val="22"/>
          <w:szCs w:val="22"/>
          <w:lang w:val="es-MX"/>
        </w:rPr>
      </w:pPr>
      <w:r>
        <w:rPr>
          <w:rFonts w:ascii="Arial" w:cs="Arial" w:eastAsia="Times New Roman" w:hAnsi="Arial"/>
          <w:color w:val="auto"/>
          <w:sz w:val="22"/>
          <w:szCs w:val="22"/>
          <w:lang w:val="es-MX"/>
        </w:rPr>
        <w:t>EDUCACIÓN.</w:t>
      </w:r>
      <w:bookmarkEnd w:id="22"/>
      <w:bookmarkEnd w:id="23"/>
      <w:r>
        <w:rPr>
          <w:rFonts w:ascii="Arial" w:cs="Arial" w:eastAsia="Times New Roman" w:hAnsi="Arial"/>
          <w:color w:val="auto"/>
          <w:sz w:val="22"/>
          <w:szCs w:val="22"/>
          <w:lang w:val="es-MX"/>
        </w:rPr>
        <w:t xml:space="preserve"> </w:t>
      </w:r>
    </w:p>
    <w:p>
      <w:pPr>
        <w:pStyle w:val="style0"/>
        <w:spacing w:after="0" w:lineRule="auto" w:line="240"/>
        <w:jc w:val="both"/>
        <w:rPr>
          <w:rFonts w:ascii="Arial" w:cs="Arial" w:eastAsia="Times New Roman" w:hAnsi="Arial"/>
          <w:b/>
          <w:lang w:val="es-MX"/>
        </w:rPr>
      </w:pPr>
    </w:p>
    <w:p>
      <w:pPr>
        <w:pStyle w:val="style0"/>
        <w:spacing w:after="0" w:lineRule="auto" w:line="240"/>
        <w:jc w:val="both"/>
        <w:rPr>
          <w:rFonts w:ascii="Arial" w:cs="Arial" w:eastAsia="Times New Roman" w:hAnsi="Arial"/>
          <w:lang w:val="es-MX"/>
        </w:rPr>
      </w:pPr>
      <w:r>
        <w:rPr>
          <w:rStyle w:val="style4099"/>
          <w:color w:val="auto"/>
          <w:lang w:val="es-MX"/>
        </w:rPr>
        <w:t>La demanda potencial del sector educativo está determinada por la población en edad</w:t>
      </w:r>
      <w:r>
        <w:rPr>
          <w:rFonts w:ascii="Arial" w:cs="Arial" w:hAnsi="Arial"/>
          <w:lang w:val="es-MX"/>
        </w:rPr>
        <w:br/>
      </w:r>
      <w:r>
        <w:rPr>
          <w:rStyle w:val="style4099"/>
          <w:color w:val="auto"/>
          <w:lang w:val="es-MX"/>
        </w:rPr>
        <w:t>escolar (PEE), niñas, niños y adolescentes entre los 5 y 16 años a quienes</w:t>
      </w:r>
      <w:r>
        <w:rPr>
          <w:rFonts w:ascii="Arial" w:cs="Arial" w:hAnsi="Arial"/>
          <w:lang w:val="es-MX"/>
        </w:rPr>
        <w:br/>
      </w:r>
      <w:r>
        <w:rPr>
          <w:rStyle w:val="style4099"/>
          <w:color w:val="auto"/>
          <w:lang w:val="es-MX"/>
        </w:rPr>
        <w:t>constitucionalmente les asiste el derecho a acceder a la educación, que por consiguiente</w:t>
      </w:r>
      <w:r>
        <w:rPr>
          <w:rFonts w:ascii="Arial" w:cs="Arial" w:hAnsi="Arial"/>
          <w:lang w:val="es-MX"/>
        </w:rPr>
        <w:br/>
      </w:r>
      <w:r>
        <w:rPr>
          <w:rStyle w:val="style4099"/>
          <w:color w:val="auto"/>
          <w:lang w:val="es-MX"/>
        </w:rPr>
        <w:t>solicitan o deberían solicitar cupos en el sector educativo oficial y no oficial. Sin embargo,</w:t>
      </w:r>
      <w:r>
        <w:rPr>
          <w:rFonts w:ascii="Arial" w:cs="Arial" w:hAnsi="Arial"/>
          <w:lang w:val="es-MX"/>
        </w:rPr>
        <w:br/>
      </w:r>
      <w:r>
        <w:rPr>
          <w:rStyle w:val="style4099"/>
          <w:color w:val="auto"/>
          <w:lang w:val="es-MX"/>
        </w:rPr>
        <w:t>existe población que se encuentra fuera de este rango de edad, son niños y niñas entre los</w:t>
      </w:r>
      <w:r>
        <w:rPr>
          <w:rFonts w:ascii="Arial" w:cs="Arial" w:hAnsi="Arial"/>
          <w:lang w:val="es-MX"/>
        </w:rPr>
        <w:br/>
      </w:r>
      <w:r>
        <w:rPr>
          <w:rStyle w:val="style4099"/>
          <w:color w:val="auto"/>
          <w:lang w:val="es-MX"/>
        </w:rPr>
        <w:t>3 y 4 años para quienes también se ofrece el servicio educativo, así como a la población en</w:t>
      </w:r>
      <w:r>
        <w:rPr>
          <w:rFonts w:ascii="Arial" w:cs="Arial" w:hAnsi="Arial"/>
          <w:lang w:val="es-MX"/>
        </w:rPr>
        <w:br/>
      </w:r>
      <w:r>
        <w:rPr>
          <w:rStyle w:val="style4099"/>
          <w:color w:val="auto"/>
          <w:lang w:val="es-MX"/>
        </w:rPr>
        <w:t>extra edad o adultos, que igualmente demandan cupos en el sistema educativo.</w:t>
      </w:r>
    </w:p>
    <w:p>
      <w:pPr>
        <w:pStyle w:val="style0"/>
        <w:spacing w:after="0" w:lineRule="auto" w:line="240"/>
        <w:jc w:val="both"/>
        <w:rPr>
          <w:rFonts w:ascii="Arial" w:cs="Arial" w:eastAsia="Times New Roman" w:hAnsi="Arial"/>
          <w:lang w:val="es-MX"/>
        </w:rPr>
      </w:pPr>
    </w:p>
    <w:p>
      <w:pPr>
        <w:pStyle w:val="style0"/>
        <w:spacing w:after="0" w:lineRule="auto" w:line="240"/>
        <w:jc w:val="both"/>
        <w:rPr>
          <w:rStyle w:val="style4099"/>
          <w:color w:val="auto"/>
          <w:lang w:val="es-MX"/>
        </w:rPr>
      </w:pPr>
      <w:r>
        <w:rPr>
          <w:rStyle w:val="style4099"/>
          <w:color w:val="auto"/>
          <w:lang w:val="es-MX"/>
        </w:rPr>
        <w:t>De acuerdo con las proyecciones de población del DANE y la Secretaría Distrital de Planeación, la población en edad escolar (PEE) de Bogotá D.C., para el año 2018 se calcula en 1.452.675 niños, niñas y adolescentes.</w:t>
      </w:r>
    </w:p>
    <w:p>
      <w:pPr>
        <w:pStyle w:val="style0"/>
        <w:spacing w:after="0" w:lineRule="auto" w:line="240"/>
        <w:jc w:val="both"/>
        <w:rPr>
          <w:rStyle w:val="style4099"/>
          <w:color w:val="auto"/>
          <w:lang w:val="es-MX"/>
        </w:rPr>
      </w:pPr>
    </w:p>
    <w:p>
      <w:pPr>
        <w:pStyle w:val="style0"/>
        <w:spacing w:after="0" w:lineRule="auto" w:line="240"/>
        <w:jc w:val="both"/>
        <w:rPr>
          <w:rStyle w:val="style4099"/>
          <w:color w:val="auto"/>
          <w:lang w:val="es-MX"/>
        </w:rPr>
      </w:pPr>
      <w:r>
        <w:rPr>
          <w:rStyle w:val="style4099"/>
          <w:color w:val="auto"/>
          <w:lang w:val="es-MX"/>
        </w:rPr>
        <w:t>la</w:t>
      </w:r>
      <w:r>
        <w:rPr>
          <w:rStyle w:val="style4099"/>
          <w:color w:val="auto"/>
          <w:lang w:val="es-MX"/>
        </w:rPr>
        <w:t xml:space="preserve"> localidad de </w:t>
      </w:r>
      <w:r>
        <w:rPr>
          <w:rStyle w:val="style4099"/>
          <w:color w:val="auto"/>
          <w:lang w:val="es-MX"/>
        </w:rPr>
        <w:t>L</w:t>
      </w:r>
      <w:r>
        <w:rPr>
          <w:rStyle w:val="style4099"/>
          <w:color w:val="auto"/>
          <w:lang w:val="es-MX"/>
        </w:rPr>
        <w:t>a Candelaria tiene dos instituciones educativas con tres sedes y su población en edad escolar que está entre los rangos que tiene la Secretaria de Educación</w:t>
      </w:r>
      <w:r>
        <w:rPr>
          <w:rStyle w:val="style4099"/>
          <w:color w:val="auto"/>
          <w:lang w:val="es-MX"/>
        </w:rPr>
        <w:t xml:space="preserve"> (5 y 16 años)</w:t>
      </w:r>
      <w:r>
        <w:rPr>
          <w:rStyle w:val="style4099"/>
          <w:color w:val="auto"/>
          <w:lang w:val="es-MX"/>
        </w:rPr>
        <w:t xml:space="preserve">, para el año 2018 fue de 2752 estudiantes.  La participación de la población en edad </w:t>
      </w:r>
      <w:r>
        <w:rPr>
          <w:rStyle w:val="style4099"/>
          <w:color w:val="auto"/>
          <w:lang w:val="es-MX"/>
        </w:rPr>
        <w:t xml:space="preserve">escolar de la localidad, con relación a la totalidad del distrito </w:t>
      </w:r>
      <w:r>
        <w:rPr>
          <w:rStyle w:val="style4099"/>
          <w:color w:val="auto"/>
          <w:lang w:val="es-MX"/>
        </w:rPr>
        <w:t>es de</w:t>
      </w:r>
      <w:r>
        <w:rPr>
          <w:rStyle w:val="style4099"/>
          <w:color w:val="auto"/>
          <w:lang w:val="es-MX"/>
        </w:rPr>
        <w:t>l</w:t>
      </w:r>
      <w:r>
        <w:rPr>
          <w:rStyle w:val="style4099"/>
          <w:color w:val="auto"/>
          <w:lang w:val="es-MX"/>
        </w:rPr>
        <w:t xml:space="preserve"> 0,02% </w:t>
      </w:r>
    </w:p>
    <w:p>
      <w:pPr>
        <w:pStyle w:val="style0"/>
        <w:spacing w:after="0" w:lineRule="auto" w:line="240"/>
        <w:jc w:val="both"/>
        <w:rPr>
          <w:rStyle w:val="style4099"/>
          <w:color w:val="auto"/>
          <w:lang w:val="es-MX"/>
        </w:rPr>
      </w:pPr>
    </w:p>
    <w:tbl>
      <w:tblPr>
        <w:tblW w:w="8960" w:type="dxa"/>
        <w:tblLook w:val="04A0" w:firstRow="1" w:lastRow="0" w:firstColumn="1" w:lastColumn="0" w:noHBand="0" w:noVBand="1"/>
      </w:tblPr>
      <w:tblGrid>
        <w:gridCol w:w="2057"/>
        <w:gridCol w:w="1380"/>
        <w:gridCol w:w="1720"/>
        <w:gridCol w:w="1403"/>
        <w:gridCol w:w="1200"/>
        <w:gridCol w:w="1200"/>
      </w:tblGrid>
      <w:tr>
        <w:trPr>
          <w:trHeight w:val="300" w:hRule="atLeast"/>
        </w:trPr>
        <w:tc>
          <w:tcPr>
            <w:tcW w:w="8960" w:type="dxa"/>
            <w:gridSpan w:val="6"/>
            <w:tcBorders>
              <w:top w:val="nil"/>
              <w:left w:val="nil"/>
              <w:bottom w:val="nil"/>
              <w:right w:val="nil"/>
            </w:tcBorders>
            <w:shd w:val="clear" w:color="000000" w:fill="c00000"/>
            <w:noWrap/>
            <w:vAlign w:val="bottom"/>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Matrícula oficial por estrato y nivel educativo La Candelaria 2018</w:t>
            </w:r>
          </w:p>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 xml:space="preserve">Entre 5 y 16 años. </w:t>
            </w:r>
          </w:p>
        </w:tc>
      </w:tr>
      <w:tr>
        <w:tblPrEx/>
        <w:trPr>
          <w:trHeight w:val="300" w:hRule="atLeast"/>
        </w:trPr>
        <w:tc>
          <w:tcPr>
            <w:tcW w:w="2057" w:type="dxa"/>
            <w:vMerge w:val="restart"/>
            <w:tcBorders>
              <w:top w:val="single" w:sz="4" w:space="0" w:color="auto"/>
              <w:left w:val="nil"/>
              <w:bottom w:val="single" w:sz="4" w:space="0" w:color="000000"/>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 xml:space="preserve">Estrato </w:t>
            </w:r>
          </w:p>
        </w:tc>
        <w:tc>
          <w:tcPr>
            <w:tcW w:w="6903" w:type="dxa"/>
            <w:gridSpan w:val="5"/>
            <w:tcBorders>
              <w:top w:val="nil"/>
              <w:left w:val="nil"/>
              <w:bottom w:val="single" w:sz="4" w:space="0" w:color="auto"/>
              <w:right w:val="nil"/>
            </w:tcBorders>
            <w:shd w:val="clear" w:color="auto" w:fill="auto"/>
            <w:vAlign w:val="center"/>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Nivel Educativo</w:t>
            </w:r>
          </w:p>
        </w:tc>
      </w:tr>
      <w:tr>
        <w:tblPrEx/>
        <w:trPr>
          <w:trHeight w:val="300" w:hRule="atLeast"/>
        </w:trPr>
        <w:tc>
          <w:tcPr>
            <w:tcW w:w="2057" w:type="dxa"/>
            <w:vMerge w:val="continue"/>
            <w:tcBorders>
              <w:top w:val="single" w:sz="4" w:space="0" w:color="auto"/>
              <w:left w:val="nil"/>
              <w:bottom w:val="single" w:sz="4" w:space="0" w:color="000000"/>
              <w:right w:val="single" w:sz="4" w:space="0" w:color="auto"/>
            </w:tcBorders>
            <w:vAlign w:val="center"/>
            <w:hideMark/>
          </w:tcPr>
          <w:p>
            <w:pPr>
              <w:pStyle w:val="style0"/>
              <w:spacing w:after="0" w:lineRule="auto" w:line="240"/>
              <w:jc w:val="both"/>
              <w:rPr>
                <w:rFonts w:ascii="Arial" w:cs="Arial" w:eastAsia="Times New Roman" w:hAnsi="Arial"/>
                <w:b/>
                <w:bCs/>
                <w:lang w:val="es-MX"/>
              </w:rPr>
            </w:pPr>
          </w:p>
        </w:tc>
        <w:tc>
          <w:tcPr>
            <w:tcW w:w="138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 xml:space="preserve">Preescolar </w:t>
            </w:r>
          </w:p>
        </w:tc>
        <w:tc>
          <w:tcPr>
            <w:tcW w:w="172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 xml:space="preserve">Primaria </w:t>
            </w:r>
          </w:p>
        </w:tc>
        <w:tc>
          <w:tcPr>
            <w:tcW w:w="1403"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 xml:space="preserve">Secundaria </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 xml:space="preserve">Media </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Total</w:t>
            </w:r>
          </w:p>
        </w:tc>
      </w:tr>
      <w:tr>
        <w:tblPrEx/>
        <w:trPr>
          <w:trHeight w:val="300" w:hRule="atLeast"/>
        </w:trPr>
        <w:tc>
          <w:tcPr>
            <w:tcW w:w="2057"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Sin estrato </w:t>
            </w:r>
          </w:p>
        </w:tc>
        <w:tc>
          <w:tcPr>
            <w:tcW w:w="138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lang w:val="es-MX"/>
              </w:rPr>
            </w:pPr>
            <w:r>
              <w:rPr>
                <w:rFonts w:ascii="Arial" w:cs="Arial" w:eastAsia="Times New Roman" w:hAnsi="Arial"/>
                <w:lang w:val="es-MX"/>
              </w:rPr>
              <w:t>10</w:t>
            </w:r>
          </w:p>
        </w:tc>
        <w:tc>
          <w:tcPr>
            <w:tcW w:w="172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lang w:val="es-MX"/>
              </w:rPr>
            </w:pPr>
            <w:r>
              <w:rPr>
                <w:rFonts w:ascii="Arial" w:cs="Arial" w:eastAsia="Times New Roman" w:hAnsi="Arial"/>
                <w:lang w:val="es-MX"/>
              </w:rPr>
              <w:t>136</w:t>
            </w:r>
          </w:p>
        </w:tc>
        <w:tc>
          <w:tcPr>
            <w:tcW w:w="1403"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lang w:val="es-MX"/>
              </w:rPr>
            </w:pPr>
            <w:r>
              <w:rPr>
                <w:rFonts w:ascii="Arial" w:cs="Arial" w:eastAsia="Times New Roman" w:hAnsi="Arial"/>
                <w:lang w:val="es-MX"/>
              </w:rPr>
              <w:t>93</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lang w:val="es-MX"/>
              </w:rPr>
            </w:pPr>
            <w:r>
              <w:rPr>
                <w:rFonts w:ascii="Arial" w:cs="Arial" w:eastAsia="Times New Roman" w:hAnsi="Arial"/>
                <w:lang w:val="es-MX"/>
              </w:rPr>
              <w:t>43</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282</w:t>
            </w:r>
          </w:p>
        </w:tc>
      </w:tr>
      <w:tr>
        <w:tblPrEx/>
        <w:trPr>
          <w:trHeight w:val="300" w:hRule="atLeast"/>
        </w:trPr>
        <w:tc>
          <w:tcPr>
            <w:tcW w:w="2057"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lang w:val="es-MX"/>
              </w:rPr>
              <w:t>Est</w:t>
            </w:r>
            <w:r>
              <w:rPr>
                <w:rFonts w:ascii="Arial" w:cs="Arial" w:eastAsia="Times New Roman" w:hAnsi="Arial"/>
              </w:rPr>
              <w:t xml:space="preserve">rato 1 </w:t>
            </w:r>
          </w:p>
        </w:tc>
        <w:tc>
          <w:tcPr>
            <w:tcW w:w="138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14</w:t>
            </w:r>
          </w:p>
        </w:tc>
        <w:tc>
          <w:tcPr>
            <w:tcW w:w="172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190</w:t>
            </w:r>
          </w:p>
        </w:tc>
        <w:tc>
          <w:tcPr>
            <w:tcW w:w="1403"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191</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70</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465</w:t>
            </w:r>
          </w:p>
        </w:tc>
      </w:tr>
      <w:tr>
        <w:tblPrEx/>
        <w:trPr>
          <w:trHeight w:val="300" w:hRule="atLeast"/>
        </w:trPr>
        <w:tc>
          <w:tcPr>
            <w:tcW w:w="2057"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 xml:space="preserve">Estrato 2 </w:t>
            </w:r>
          </w:p>
        </w:tc>
        <w:tc>
          <w:tcPr>
            <w:tcW w:w="138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123</w:t>
            </w:r>
          </w:p>
        </w:tc>
        <w:tc>
          <w:tcPr>
            <w:tcW w:w="172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750</w:t>
            </w:r>
          </w:p>
        </w:tc>
        <w:tc>
          <w:tcPr>
            <w:tcW w:w="1403"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619</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286</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1.778</w:t>
            </w:r>
          </w:p>
        </w:tc>
      </w:tr>
      <w:tr>
        <w:tblPrEx/>
        <w:trPr>
          <w:trHeight w:val="300" w:hRule="atLeast"/>
        </w:trPr>
        <w:tc>
          <w:tcPr>
            <w:tcW w:w="2057"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 xml:space="preserve">Estrato 3 </w:t>
            </w:r>
          </w:p>
        </w:tc>
        <w:tc>
          <w:tcPr>
            <w:tcW w:w="138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15</w:t>
            </w:r>
          </w:p>
        </w:tc>
        <w:tc>
          <w:tcPr>
            <w:tcW w:w="172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97</w:t>
            </w:r>
          </w:p>
        </w:tc>
        <w:tc>
          <w:tcPr>
            <w:tcW w:w="1403"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79</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26</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217</w:t>
            </w:r>
          </w:p>
        </w:tc>
      </w:tr>
      <w:tr>
        <w:tblPrEx/>
        <w:trPr>
          <w:trHeight w:val="300" w:hRule="atLeast"/>
        </w:trPr>
        <w:tc>
          <w:tcPr>
            <w:tcW w:w="2057"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 xml:space="preserve">Estrato 4 </w:t>
            </w:r>
          </w:p>
        </w:tc>
        <w:tc>
          <w:tcPr>
            <w:tcW w:w="138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0</w:t>
            </w:r>
          </w:p>
        </w:tc>
        <w:tc>
          <w:tcPr>
            <w:tcW w:w="172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4</w:t>
            </w:r>
          </w:p>
        </w:tc>
        <w:tc>
          <w:tcPr>
            <w:tcW w:w="1403"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2</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1</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7</w:t>
            </w:r>
          </w:p>
        </w:tc>
      </w:tr>
      <w:tr>
        <w:tblPrEx/>
        <w:trPr>
          <w:trHeight w:val="300" w:hRule="atLeast"/>
        </w:trPr>
        <w:tc>
          <w:tcPr>
            <w:tcW w:w="2057"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 xml:space="preserve">Estrato 5 </w:t>
            </w:r>
          </w:p>
        </w:tc>
        <w:tc>
          <w:tcPr>
            <w:tcW w:w="138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0</w:t>
            </w:r>
          </w:p>
        </w:tc>
        <w:tc>
          <w:tcPr>
            <w:tcW w:w="172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1</w:t>
            </w:r>
          </w:p>
        </w:tc>
        <w:tc>
          <w:tcPr>
            <w:tcW w:w="1403"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2</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0</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3</w:t>
            </w:r>
          </w:p>
        </w:tc>
      </w:tr>
      <w:tr>
        <w:tblPrEx/>
        <w:trPr>
          <w:trHeight w:val="300" w:hRule="atLeast"/>
        </w:trPr>
        <w:tc>
          <w:tcPr>
            <w:tcW w:w="2057"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 xml:space="preserve">Total </w:t>
            </w:r>
          </w:p>
        </w:tc>
        <w:tc>
          <w:tcPr>
            <w:tcW w:w="138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162</w:t>
            </w:r>
          </w:p>
        </w:tc>
        <w:tc>
          <w:tcPr>
            <w:tcW w:w="172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1.178</w:t>
            </w:r>
          </w:p>
        </w:tc>
        <w:tc>
          <w:tcPr>
            <w:tcW w:w="1403"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986</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426</w:t>
            </w:r>
          </w:p>
        </w:tc>
        <w:tc>
          <w:tcPr>
            <w:tcW w:w="1200"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2.752</w:t>
            </w:r>
          </w:p>
        </w:tc>
      </w:tr>
    </w:tbl>
    <w:p>
      <w:pPr>
        <w:pStyle w:val="style0"/>
        <w:spacing w:after="0" w:lineRule="auto" w:line="240"/>
        <w:jc w:val="both"/>
        <w:rPr>
          <w:rFonts w:ascii="Arial" w:cs="Arial" w:eastAsia="Times New Roman" w:hAnsi="Arial"/>
          <w:lang w:val="es-MX"/>
        </w:rPr>
      </w:pPr>
      <w:r>
        <w:rPr>
          <w:rFonts w:ascii="Arial" w:cs="Arial" w:eastAsia="Times New Roman" w:hAnsi="Arial"/>
          <w:lang w:val="es-MX"/>
        </w:rPr>
        <w:t>Fuente: SIMAT. Fecha de corte 28 de febrero de 2018</w:t>
      </w:r>
    </w:p>
    <w:p>
      <w:pPr>
        <w:pStyle w:val="style0"/>
        <w:spacing w:after="0" w:lineRule="auto" w:line="240"/>
        <w:jc w:val="both"/>
        <w:rPr>
          <w:rStyle w:val="style4099"/>
          <w:color w:val="auto"/>
          <w:lang w:val="es-MX"/>
        </w:rPr>
      </w:pPr>
    </w:p>
    <w:p>
      <w:pPr>
        <w:pStyle w:val="style0"/>
        <w:spacing w:after="0" w:lineRule="auto" w:line="240"/>
        <w:jc w:val="both"/>
        <w:rPr>
          <w:rStyle w:val="style4099"/>
          <w:color w:val="auto"/>
          <w:lang w:val="es-MX"/>
        </w:rPr>
      </w:pPr>
      <w:r>
        <w:rPr>
          <w:rStyle w:val="style4099"/>
          <w:color w:val="auto"/>
          <w:lang w:val="es-MX"/>
        </w:rPr>
        <w:t>La oferta de la Candelaria educativa del sector oficial está conformada por el número de cupos que ofrece el sistema educativo en los colegios distritales, con administración contratada y no oficiales con matrícula contratada, modalidades mediante las cuales el Distrito Capital busca garantizar el derecho a la educación.</w:t>
      </w:r>
    </w:p>
    <w:p>
      <w:pPr>
        <w:pStyle w:val="style0"/>
        <w:spacing w:after="0" w:lineRule="auto" w:line="240"/>
        <w:jc w:val="both"/>
        <w:rPr>
          <w:rStyle w:val="style4099"/>
          <w:color w:val="auto"/>
          <w:lang w:val="es-MX"/>
        </w:rPr>
      </w:pPr>
      <w:r>
        <w:rPr>
          <w:rFonts w:ascii="Arial" w:cs="Arial" w:hAnsi="Arial"/>
          <w:lang w:val="es-MX"/>
        </w:rPr>
        <w:br/>
      </w:r>
      <w:r>
        <w:rPr>
          <w:rStyle w:val="style4099"/>
          <w:color w:val="auto"/>
          <w:lang w:val="es-MX"/>
        </w:rPr>
        <w:t>La Secretaría de Educación del Distrito ha realizado importantes esfuerzos para ampliar la</w:t>
      </w:r>
      <w:r>
        <w:rPr>
          <w:rFonts w:ascii="Arial" w:cs="Arial" w:hAnsi="Arial"/>
          <w:lang w:val="es-MX"/>
        </w:rPr>
        <w:br/>
      </w:r>
      <w:r>
        <w:rPr>
          <w:rStyle w:val="style4099"/>
          <w:color w:val="auto"/>
          <w:lang w:val="es-MX"/>
        </w:rPr>
        <w:t>oferta educativa oficial buscando mayores y mejores oportunidades para que los niños,</w:t>
      </w:r>
      <w:r>
        <w:rPr>
          <w:rFonts w:ascii="Arial" w:cs="Arial" w:hAnsi="Arial"/>
          <w:lang w:val="es-MX"/>
        </w:rPr>
        <w:br/>
      </w:r>
      <w:r>
        <w:rPr>
          <w:rStyle w:val="style4099"/>
          <w:color w:val="auto"/>
          <w:lang w:val="es-MX"/>
        </w:rPr>
        <w:t>niñas y jóvenes de la ciudad accedan al sistema educativo y permanezcan en él hasta</w:t>
      </w:r>
      <w:r>
        <w:rPr>
          <w:rFonts w:ascii="Arial" w:cs="Arial" w:hAnsi="Arial"/>
          <w:lang w:val="es-MX"/>
        </w:rPr>
        <w:br/>
      </w:r>
      <w:r>
        <w:rPr>
          <w:rStyle w:val="style4099"/>
          <w:color w:val="auto"/>
          <w:lang w:val="es-MX"/>
        </w:rPr>
        <w:t xml:space="preserve">culminar sus estudios. </w:t>
      </w:r>
    </w:p>
    <w:p>
      <w:pPr>
        <w:pStyle w:val="style0"/>
        <w:spacing w:after="0" w:lineRule="auto" w:line="240"/>
        <w:jc w:val="both"/>
        <w:rPr>
          <w:rStyle w:val="style4099"/>
          <w:color w:val="auto"/>
          <w:lang w:val="es-MX"/>
        </w:rPr>
      </w:pPr>
      <w:r>
        <w:rPr>
          <w:rFonts w:ascii="Arial" w:cs="Arial" w:hAnsi="Arial"/>
          <w:lang w:val="es-MX"/>
        </w:rPr>
        <w:br/>
      </w:r>
    </w:p>
    <w:p>
      <w:pPr>
        <w:pStyle w:val="style0"/>
        <w:spacing w:after="0" w:lineRule="auto" w:line="240"/>
        <w:jc w:val="both"/>
        <w:rPr>
          <w:rStyle w:val="style4099"/>
          <w:color w:val="auto"/>
          <w:lang w:val="es-MX"/>
        </w:rPr>
      </w:pPr>
    </w:p>
    <w:tbl>
      <w:tblPr>
        <w:tblW w:w="7400" w:type="dxa"/>
        <w:jc w:val="center"/>
        <w:tblLook w:val="04A0" w:firstRow="1" w:lastRow="0" w:firstColumn="1" w:lastColumn="0" w:noHBand="0" w:noVBand="1"/>
      </w:tblPr>
      <w:tblGrid>
        <w:gridCol w:w="2514"/>
        <w:gridCol w:w="2514"/>
        <w:gridCol w:w="1419"/>
        <w:gridCol w:w="953"/>
      </w:tblGrid>
      <w:tr>
        <w:trPr>
          <w:trHeight w:val="300" w:hRule="atLeast"/>
          <w:jc w:val="center"/>
        </w:trPr>
        <w:tc>
          <w:tcPr>
            <w:tcW w:w="7400" w:type="dxa"/>
            <w:gridSpan w:val="4"/>
            <w:tcBorders>
              <w:top w:val="single" w:sz="4" w:space="0" w:color="auto"/>
              <w:left w:val="single" w:sz="4" w:space="0" w:color="auto"/>
              <w:bottom w:val="single" w:sz="4" w:space="0" w:color="auto"/>
              <w:right w:val="single" w:sz="4" w:space="0" w:color="auto"/>
            </w:tcBorders>
            <w:shd w:val="clear" w:color="000000" w:fill="ff0000"/>
            <w:noWrap/>
            <w:vAlign w:val="bottom"/>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Número de sedes que ofrecen educación oficial por UPZ La Candelaria 2018</w:t>
            </w:r>
          </w:p>
        </w:tc>
      </w:tr>
      <w:tr>
        <w:tblPrEx/>
        <w:trPr>
          <w:trHeight w:val="300" w:hRule="atLeast"/>
          <w:jc w:val="center"/>
        </w:trPr>
        <w:tc>
          <w:tcPr>
            <w:tcW w:w="2514" w:type="dxa"/>
            <w:tcBorders>
              <w:top w:val="nil"/>
              <w:left w:val="single" w:sz="4" w:space="0" w:color="auto"/>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 xml:space="preserve">Localidad </w:t>
            </w:r>
          </w:p>
        </w:tc>
        <w:tc>
          <w:tcPr>
            <w:tcW w:w="2514"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 xml:space="preserve">Nombre UPZ </w:t>
            </w:r>
          </w:p>
        </w:tc>
        <w:tc>
          <w:tcPr>
            <w:tcW w:w="2372" w:type="dxa"/>
            <w:gridSpan w:val="2"/>
            <w:tcBorders>
              <w:top w:val="single" w:sz="4" w:space="0" w:color="auto"/>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 xml:space="preserve">Distrital </w:t>
            </w:r>
          </w:p>
        </w:tc>
      </w:tr>
      <w:tr>
        <w:tblPrEx/>
        <w:trPr>
          <w:trHeight w:val="300" w:hRule="atLeast"/>
          <w:jc w:val="center"/>
        </w:trPr>
        <w:tc>
          <w:tcPr>
            <w:tcW w:w="2514" w:type="dxa"/>
            <w:tcBorders>
              <w:top w:val="nil"/>
              <w:left w:val="single" w:sz="4" w:space="0" w:color="auto"/>
              <w:bottom w:val="single" w:sz="4" w:space="0" w:color="auto"/>
              <w:right w:val="single" w:sz="4" w:space="0" w:color="auto"/>
            </w:tcBorders>
            <w:shd w:val="clear" w:color="auto" w:fill="auto"/>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w:t>
            </w:r>
          </w:p>
        </w:tc>
        <w:tc>
          <w:tcPr>
            <w:tcW w:w="2514"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w:t>
            </w:r>
          </w:p>
        </w:tc>
        <w:tc>
          <w:tcPr>
            <w:tcW w:w="1419"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xml:space="preserve">Colegio </w:t>
            </w:r>
          </w:p>
        </w:tc>
        <w:tc>
          <w:tcPr>
            <w:tcW w:w="953"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xml:space="preserve">Sede </w:t>
            </w:r>
          </w:p>
        </w:tc>
      </w:tr>
      <w:tr>
        <w:tblPrEx/>
        <w:trPr>
          <w:trHeight w:val="300" w:hRule="atLeast"/>
          <w:jc w:val="center"/>
        </w:trPr>
        <w:tc>
          <w:tcPr>
            <w:tcW w:w="2514" w:type="dxa"/>
            <w:tcBorders>
              <w:top w:val="nil"/>
              <w:left w:val="single" w:sz="4" w:space="0" w:color="auto"/>
              <w:bottom w:val="single" w:sz="4" w:space="0" w:color="auto"/>
              <w:right w:val="single" w:sz="4" w:space="0" w:color="auto"/>
            </w:tcBorders>
            <w:shd w:val="clear" w:color="auto" w:fill="auto"/>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xml:space="preserve">La Candelaria </w:t>
            </w:r>
          </w:p>
        </w:tc>
        <w:tc>
          <w:tcPr>
            <w:tcW w:w="2514"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xml:space="preserve">La Candelaria </w:t>
            </w:r>
          </w:p>
        </w:tc>
        <w:tc>
          <w:tcPr>
            <w:tcW w:w="1419"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2</w:t>
            </w:r>
          </w:p>
        </w:tc>
        <w:tc>
          <w:tcPr>
            <w:tcW w:w="953"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3</w:t>
            </w:r>
          </w:p>
        </w:tc>
      </w:tr>
    </w:tbl>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FUENTE: SIMAT. FECHA DE CORTE 28 DE FEBRERO DE 2018 Y SED. </w:t>
      </w:r>
    </w:p>
    <w:p>
      <w:pPr>
        <w:pStyle w:val="style0"/>
        <w:spacing w:after="0" w:lineRule="auto" w:line="240"/>
        <w:jc w:val="both"/>
        <w:rPr>
          <w:rStyle w:val="style4099"/>
          <w:color w:val="auto"/>
          <w:lang w:val="es-MX"/>
        </w:rPr>
      </w:pPr>
    </w:p>
    <w:p>
      <w:pPr>
        <w:pStyle w:val="style0"/>
        <w:spacing w:after="0" w:lineRule="auto" w:line="240"/>
        <w:jc w:val="both"/>
        <w:rPr>
          <w:rStyle w:val="style4099"/>
          <w:color w:val="auto"/>
          <w:lang w:val="es-MX"/>
        </w:rPr>
      </w:pPr>
      <w:r>
        <w:rPr>
          <w:rStyle w:val="style4099"/>
          <w:color w:val="auto"/>
          <w:lang w:val="es-MX"/>
        </w:rPr>
        <w:t>La información suministrada por la SDE, a corte de abril, indica que para la vigencia 2020 la matricula en las Instituciones Educativas Distritales fue de 792.431</w:t>
      </w:r>
      <w:r>
        <w:rPr>
          <w:rStyle w:val="style4099"/>
          <w:color w:val="auto"/>
          <w:lang w:val="es-MX"/>
        </w:rPr>
        <w:t xml:space="preserve"> </w:t>
      </w:r>
      <w:r>
        <w:rPr>
          <w:rStyle w:val="style4099"/>
          <w:color w:val="auto"/>
          <w:lang w:val="es-MX"/>
        </w:rPr>
        <w:t>matriculados</w:t>
      </w:r>
      <w:r>
        <w:rPr>
          <w:rStyle w:val="style4099"/>
          <w:color w:val="auto"/>
          <w:lang w:val="es-MX"/>
        </w:rPr>
        <w:t xml:space="preserve"> </w:t>
      </w:r>
      <w:r>
        <w:rPr>
          <w:rStyle w:val="style4099"/>
          <w:color w:val="auto"/>
          <w:lang w:val="es-MX"/>
        </w:rPr>
        <w:t>en colegios oficial</w:t>
      </w:r>
      <w:r>
        <w:rPr>
          <w:rStyle w:val="style4099"/>
          <w:color w:val="auto"/>
          <w:lang w:val="es-MX"/>
        </w:rPr>
        <w:t>es</w:t>
      </w:r>
      <w:r>
        <w:rPr>
          <w:rStyle w:val="style4099"/>
          <w:color w:val="auto"/>
          <w:lang w:val="es-MX"/>
        </w:rPr>
        <w:t xml:space="preserve"> del Distrito, la localidad de </w:t>
      </w:r>
      <w:r>
        <w:rPr>
          <w:rStyle w:val="style4099"/>
          <w:color w:val="auto"/>
          <w:lang w:val="es-MX"/>
        </w:rPr>
        <w:t>L</w:t>
      </w:r>
      <w:r>
        <w:rPr>
          <w:rStyle w:val="style4099"/>
          <w:color w:val="auto"/>
          <w:lang w:val="es-MX"/>
        </w:rPr>
        <w:t>a Candelaria se concentró en los colegios distritales y fue 2801 estudiantes matriculados, frente al año 2018 fue de 2.752 del año anterior representó una reducción de 0,7%. En comparación con la matrícula total de la ciudad, la registrada en esta localidad equivale al 3,0</w:t>
      </w:r>
      <w:r>
        <w:rPr>
          <w:rStyle w:val="style4099"/>
          <w:color w:val="auto"/>
          <w:lang w:val="es-MX"/>
        </w:rPr>
        <w:t>%</w:t>
      </w:r>
    </w:p>
    <w:p>
      <w:pPr>
        <w:pStyle w:val="style0"/>
        <w:spacing w:after="0" w:lineRule="auto" w:line="240"/>
        <w:jc w:val="both"/>
        <w:rPr>
          <w:rStyle w:val="style4099"/>
          <w:color w:val="auto"/>
          <w:lang w:val="es-MX"/>
        </w:rPr>
      </w:pPr>
      <w:r>
        <w:rPr>
          <w:rStyle w:val="style4099"/>
          <w:color w:val="auto"/>
          <w:lang w:val="es-MX"/>
        </w:rPr>
        <w:tab/>
      </w:r>
    </w:p>
    <w:p>
      <w:pPr>
        <w:pStyle w:val="style0"/>
        <w:spacing w:after="0" w:lineRule="auto" w:line="240"/>
        <w:jc w:val="both"/>
        <w:rPr>
          <w:rStyle w:val="style4099"/>
          <w:color w:val="auto"/>
          <w:lang w:val="es-MX"/>
        </w:rPr>
      </w:pPr>
      <w:r>
        <w:rPr>
          <w:rStyle w:val="style4099"/>
          <w:color w:val="auto"/>
          <w:lang w:val="es-MX"/>
        </w:rPr>
        <w:t>En general, en 2018 se observa una mayor concentración de hombres (53,5%) que de</w:t>
      </w:r>
      <w:r>
        <w:rPr>
          <w:rFonts w:ascii="Arial" w:cs="Arial" w:hAnsi="Arial"/>
          <w:lang w:val="es-MX"/>
        </w:rPr>
        <w:br/>
      </w:r>
      <w:r>
        <w:rPr>
          <w:rStyle w:val="style4099"/>
          <w:color w:val="auto"/>
          <w:lang w:val="es-MX"/>
        </w:rPr>
        <w:t xml:space="preserve">mujeres (46,5%) y en el aspecto educativo se observa la misma situación. </w:t>
      </w:r>
      <w:r>
        <w:rPr>
          <w:rFonts w:ascii="Arial" w:cs="Arial" w:hAnsi="Arial"/>
          <w:lang w:val="es-MX"/>
        </w:rPr>
        <w:br/>
      </w:r>
      <w:r>
        <w:rPr>
          <w:rStyle w:val="style4099"/>
          <w:color w:val="auto"/>
          <w:lang w:val="es-MX"/>
        </w:rPr>
        <w:t>Además, el 64,6% del total de los estudiantes matriculados en la localidad pertenece al estrato 2, en</w:t>
      </w:r>
      <w:r>
        <w:rPr>
          <w:rFonts w:ascii="Arial" w:cs="Arial" w:hAnsi="Arial"/>
          <w:lang w:val="es-MX"/>
        </w:rPr>
        <w:t xml:space="preserve"> </w:t>
      </w:r>
      <w:r>
        <w:rPr>
          <w:rStyle w:val="style4099"/>
          <w:color w:val="auto"/>
          <w:lang w:val="es-MX"/>
        </w:rPr>
        <w:t>el estrato 1 se ubica el 16,9%, y en el estrato 3 el 7,9%; en los estratos del 4 al 6 se ubica</w:t>
      </w:r>
      <w:r>
        <w:rPr>
          <w:rFonts w:ascii="Arial" w:cs="Arial" w:hAnsi="Arial"/>
          <w:lang w:val="es-MX"/>
        </w:rPr>
        <w:t xml:space="preserve"> </w:t>
      </w:r>
      <w:r>
        <w:rPr>
          <w:rStyle w:val="style4099"/>
          <w:color w:val="auto"/>
          <w:lang w:val="es-MX"/>
        </w:rPr>
        <w:t xml:space="preserve">el 0,4. </w:t>
      </w:r>
      <w:r>
        <w:rPr>
          <w:rStyle w:val="style4099"/>
          <w:color w:val="auto"/>
        </w:rPr>
        <w:t>El 10,2% está registrado como “sin estrato”.</w:t>
      </w:r>
    </w:p>
    <w:p>
      <w:pPr>
        <w:pStyle w:val="style0"/>
        <w:spacing w:after="0" w:lineRule="auto" w:line="240"/>
        <w:jc w:val="both"/>
        <w:rPr>
          <w:rStyle w:val="style4099"/>
          <w:color w:val="auto"/>
          <w:lang w:val="es-MX"/>
        </w:rPr>
      </w:pPr>
    </w:p>
    <w:p>
      <w:pPr>
        <w:pStyle w:val="style0"/>
        <w:spacing w:after="0" w:lineRule="auto" w:line="240"/>
        <w:jc w:val="both"/>
        <w:rPr>
          <w:rStyle w:val="style4099"/>
          <w:color w:val="auto"/>
          <w:lang w:val="es-MX"/>
        </w:rPr>
      </w:pPr>
    </w:p>
    <w:tbl>
      <w:tblPr>
        <w:tblW w:w="5949" w:type="dxa"/>
        <w:jc w:val="center"/>
        <w:tblLook w:val="04A0" w:firstRow="1" w:lastRow="0" w:firstColumn="1" w:lastColumn="0" w:noHBand="0" w:noVBand="1"/>
      </w:tblPr>
      <w:tblGrid>
        <w:gridCol w:w="1516"/>
        <w:gridCol w:w="1195"/>
        <w:gridCol w:w="1228"/>
        <w:gridCol w:w="2012"/>
      </w:tblGrid>
      <w:tr>
        <w:trPr>
          <w:trHeight w:val="765" w:hRule="atLeast"/>
          <w:jc w:val="center"/>
        </w:trPr>
        <w:tc>
          <w:tcPr>
            <w:tcW w:w="5949" w:type="dxa"/>
            <w:gridSpan w:val="4"/>
            <w:tcBorders>
              <w:top w:val="single" w:sz="4" w:space="0" w:color="auto"/>
              <w:left w:val="single" w:sz="4" w:space="0" w:color="auto"/>
              <w:bottom w:val="single" w:sz="4" w:space="0" w:color="auto"/>
              <w:right w:val="single" w:sz="4" w:space="0" w:color="auto"/>
            </w:tcBorders>
            <w:shd w:val="clear" w:color="000000" w:fill="ff0000"/>
            <w:noWrap/>
            <w:vAlign w:val="bottom"/>
            <w:hideMark/>
          </w:tcPr>
          <w:p>
            <w:pPr>
              <w:pStyle w:val="style0"/>
              <w:spacing w:after="0" w:lineRule="auto" w:line="240"/>
              <w:jc w:val="both"/>
              <w:rPr>
                <w:rFonts w:ascii="Arial" w:cs="Arial" w:eastAsia="Times New Roman" w:hAnsi="Arial"/>
                <w:lang w:val="es-MX"/>
              </w:rPr>
            </w:pPr>
            <w:r>
              <w:rPr>
                <w:rFonts w:ascii="Arial" w:cs="Arial" w:eastAsia="Times New Roman" w:hAnsi="Arial"/>
                <w:lang w:val="es-MX"/>
              </w:rPr>
              <w:t>Matrícula oficial por nivel educativo, clase de colegio y sexo Candelaria 2018</w:t>
            </w:r>
          </w:p>
        </w:tc>
      </w:tr>
      <w:tr>
        <w:tblPrEx/>
        <w:trPr>
          <w:trHeight w:val="300" w:hRule="atLeast"/>
          <w:jc w:val="center"/>
        </w:trPr>
        <w:tc>
          <w:tcPr>
            <w:tcW w:w="1518"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lang w:val="es-MX"/>
              </w:rPr>
            </w:pPr>
            <w:r>
              <w:rPr>
                <w:rFonts w:ascii="Arial" w:cs="Arial" w:eastAsia="Times New Roman" w:hAnsi="Arial"/>
                <w:b/>
                <w:bCs/>
                <w:lang w:val="es-MX"/>
              </w:rPr>
              <w:t> </w:t>
            </w:r>
          </w:p>
        </w:tc>
        <w:tc>
          <w:tcPr>
            <w:tcW w:w="4431" w:type="dxa"/>
            <w:gridSpan w:val="3"/>
            <w:tcBorders>
              <w:top w:val="single" w:sz="4" w:space="0" w:color="auto"/>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Clase de Colegio</w:t>
            </w:r>
          </w:p>
        </w:tc>
      </w:tr>
      <w:tr>
        <w:tblPrEx/>
        <w:trPr>
          <w:trHeight w:val="300" w:hRule="atLeast"/>
          <w:jc w:val="center"/>
        </w:trPr>
        <w:tc>
          <w:tcPr>
            <w:tcW w:w="1518"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 </w:t>
            </w:r>
          </w:p>
        </w:tc>
        <w:tc>
          <w:tcPr>
            <w:tcW w:w="2402" w:type="dxa"/>
            <w:gridSpan w:val="2"/>
            <w:tcBorders>
              <w:top w:val="single" w:sz="4" w:space="0" w:color="auto"/>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 xml:space="preserve">Distrital </w:t>
            </w:r>
          </w:p>
        </w:tc>
        <w:tc>
          <w:tcPr>
            <w:tcW w:w="2029"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w:t>
            </w:r>
          </w:p>
        </w:tc>
      </w:tr>
      <w:tr>
        <w:tblPrEx/>
        <w:trPr>
          <w:trHeight w:val="300" w:hRule="atLeast"/>
          <w:jc w:val="center"/>
        </w:trPr>
        <w:tc>
          <w:tcPr>
            <w:tcW w:w="1518"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Nivel Educativo</w:t>
            </w:r>
          </w:p>
        </w:tc>
        <w:tc>
          <w:tcPr>
            <w:tcW w:w="1195"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Femenino</w:t>
            </w:r>
          </w:p>
        </w:tc>
        <w:tc>
          <w:tcPr>
            <w:tcW w:w="1207"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 xml:space="preserve">Masculino </w:t>
            </w:r>
          </w:p>
        </w:tc>
        <w:tc>
          <w:tcPr>
            <w:tcW w:w="2029"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 xml:space="preserve">Total </w:t>
            </w:r>
          </w:p>
        </w:tc>
      </w:tr>
      <w:tr>
        <w:tblPrEx/>
        <w:trPr>
          <w:trHeight w:val="300" w:hRule="atLeast"/>
          <w:jc w:val="center"/>
        </w:trPr>
        <w:tc>
          <w:tcPr>
            <w:tcW w:w="1518"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Preescolar</w:t>
            </w:r>
          </w:p>
        </w:tc>
        <w:tc>
          <w:tcPr>
            <w:tcW w:w="1195"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76</w:t>
            </w:r>
          </w:p>
        </w:tc>
        <w:tc>
          <w:tcPr>
            <w:tcW w:w="1207"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86</w:t>
            </w:r>
          </w:p>
        </w:tc>
        <w:tc>
          <w:tcPr>
            <w:tcW w:w="2029"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162</w:t>
            </w:r>
          </w:p>
        </w:tc>
      </w:tr>
      <w:tr>
        <w:tblPrEx/>
        <w:trPr>
          <w:trHeight w:val="300" w:hRule="atLeast"/>
          <w:jc w:val="center"/>
        </w:trPr>
        <w:tc>
          <w:tcPr>
            <w:tcW w:w="1518"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Primaria</w:t>
            </w:r>
          </w:p>
        </w:tc>
        <w:tc>
          <w:tcPr>
            <w:tcW w:w="1195"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526</w:t>
            </w:r>
          </w:p>
        </w:tc>
        <w:tc>
          <w:tcPr>
            <w:tcW w:w="1207"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652</w:t>
            </w:r>
          </w:p>
        </w:tc>
        <w:tc>
          <w:tcPr>
            <w:tcW w:w="2029"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1.178</w:t>
            </w:r>
          </w:p>
        </w:tc>
      </w:tr>
      <w:tr>
        <w:tblPrEx/>
        <w:trPr>
          <w:trHeight w:val="300" w:hRule="atLeast"/>
          <w:jc w:val="center"/>
        </w:trPr>
        <w:tc>
          <w:tcPr>
            <w:tcW w:w="1518"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Secundaria</w:t>
            </w:r>
          </w:p>
        </w:tc>
        <w:tc>
          <w:tcPr>
            <w:tcW w:w="1195"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466</w:t>
            </w:r>
          </w:p>
        </w:tc>
        <w:tc>
          <w:tcPr>
            <w:tcW w:w="1207"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520</w:t>
            </w:r>
          </w:p>
        </w:tc>
        <w:tc>
          <w:tcPr>
            <w:tcW w:w="2029"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986</w:t>
            </w:r>
          </w:p>
        </w:tc>
      </w:tr>
      <w:tr>
        <w:tblPrEx/>
        <w:trPr>
          <w:trHeight w:val="300" w:hRule="atLeast"/>
          <w:jc w:val="center"/>
        </w:trPr>
        <w:tc>
          <w:tcPr>
            <w:tcW w:w="1518"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Media</w:t>
            </w:r>
          </w:p>
        </w:tc>
        <w:tc>
          <w:tcPr>
            <w:tcW w:w="1195"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212</w:t>
            </w:r>
          </w:p>
        </w:tc>
        <w:tc>
          <w:tcPr>
            <w:tcW w:w="1207"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214</w:t>
            </w:r>
          </w:p>
        </w:tc>
        <w:tc>
          <w:tcPr>
            <w:tcW w:w="2029"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426</w:t>
            </w:r>
          </w:p>
        </w:tc>
      </w:tr>
      <w:tr>
        <w:tblPrEx/>
        <w:trPr>
          <w:trHeight w:val="300" w:hRule="atLeast"/>
          <w:jc w:val="center"/>
        </w:trPr>
        <w:tc>
          <w:tcPr>
            <w:tcW w:w="1518" w:type="dxa"/>
            <w:tcBorders>
              <w:top w:val="nil"/>
              <w:left w:val="single" w:sz="4" w:space="0" w:color="auto"/>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Total</w:t>
            </w:r>
          </w:p>
        </w:tc>
        <w:tc>
          <w:tcPr>
            <w:tcW w:w="1195"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1.280</w:t>
            </w:r>
          </w:p>
        </w:tc>
        <w:tc>
          <w:tcPr>
            <w:tcW w:w="1207"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b/>
                <w:bCs/>
              </w:rPr>
            </w:pPr>
            <w:r>
              <w:rPr>
                <w:rFonts w:ascii="Arial" w:cs="Arial" w:eastAsia="Times New Roman" w:hAnsi="Arial"/>
                <w:b/>
                <w:bCs/>
              </w:rPr>
              <w:t>1.472</w:t>
            </w:r>
          </w:p>
        </w:tc>
        <w:tc>
          <w:tcPr>
            <w:tcW w:w="2029" w:type="dxa"/>
            <w:tcBorders>
              <w:top w:val="nil"/>
              <w:left w:val="nil"/>
              <w:bottom w:val="single" w:sz="4" w:space="0" w:color="auto"/>
              <w:right w:val="single" w:sz="4" w:space="0" w:color="auto"/>
            </w:tcBorders>
            <w:shd w:val="clear" w:color="auto" w:fill="auto"/>
            <w:vAlign w:val="center"/>
            <w:hideMark/>
          </w:tcPr>
          <w:p>
            <w:pPr>
              <w:pStyle w:val="style0"/>
              <w:spacing w:after="0" w:lineRule="auto" w:line="240"/>
              <w:jc w:val="both"/>
              <w:rPr>
                <w:rFonts w:ascii="Arial" w:cs="Arial" w:eastAsia="Times New Roman" w:hAnsi="Arial"/>
              </w:rPr>
            </w:pPr>
            <w:r>
              <w:rPr>
                <w:rFonts w:ascii="Arial" w:cs="Arial" w:eastAsia="Times New Roman" w:hAnsi="Arial"/>
              </w:rPr>
              <w:t>2.752</w:t>
            </w:r>
          </w:p>
        </w:tc>
      </w:tr>
    </w:tbl>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              Fuente: SIMAT. Fecha de corte 28 de febrero de 2018 y SED. </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En el nivel superior de educación La Candelaria se encuentra en el puesto 18 a nivel distrital, respecto del número de bachilleres de colegios oficiales con apoyo para acceder a educación superior. </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hAnsi="Arial"/>
          <w:noProof/>
          <w:lang w:eastAsia="es-CO"/>
        </w:rPr>
        <w:drawing>
          <wp:inline distL="0" distT="0" distB="0" distR="0">
            <wp:extent cx="5940748" cy="3287730"/>
            <wp:effectExtent l="0" t="0" r="3175" b="8255"/>
            <wp:docPr id="1040" name="Imagen 4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Imagen 48"/>
                    <pic:cNvPicPr/>
                  </pic:nvPicPr>
                  <pic:blipFill>
                    <a:blip r:embed="rId18" cstate="print"/>
                    <a:srcRect l="14647" t="21166" r="11577" b="6215"/>
                    <a:stretch/>
                  </pic:blipFill>
                  <pic:spPr>
                    <a:xfrm rot="0">
                      <a:off x="0" y="0"/>
                      <a:ext cx="5940748" cy="3287730"/>
                    </a:xfrm>
                    <a:prstGeom prst="rect"/>
                    <a:ln>
                      <a:noFill/>
                    </a:ln>
                  </pic:spPr>
                </pic:pic>
              </a:graphicData>
            </a:graphic>
          </wp:inline>
        </w:drawing>
      </w:r>
    </w:p>
    <w:p>
      <w:pPr>
        <w:pStyle w:val="style0"/>
        <w:spacing w:after="0" w:lineRule="auto" w:line="240"/>
        <w:jc w:val="center"/>
        <w:rPr>
          <w:rFonts w:ascii="Arial" w:cs="Arial" w:hAnsi="Arial"/>
          <w:lang w:val="es-MX"/>
        </w:rPr>
      </w:pPr>
      <w:r>
        <w:rPr>
          <w:rFonts w:ascii="Arial" w:cs="Arial" w:hAnsi="Arial"/>
          <w:lang w:val="es-MX"/>
        </w:rPr>
        <w:t>FUENTE: INDICADORES</w:t>
      </w:r>
      <w:r>
        <w:rPr>
          <w:rFonts w:ascii="Arial" w:cs="Arial" w:hAnsi="Arial"/>
          <w:lang w:val="es-MX"/>
        </w:rPr>
        <w:t xml:space="preserve"> DE DIAGNOSTICO LOCAL, SDP, 2019</w:t>
      </w:r>
    </w:p>
    <w:p>
      <w:pPr>
        <w:pStyle w:val="style0"/>
        <w:spacing w:after="0" w:lineRule="auto" w:line="240"/>
        <w:jc w:val="both"/>
        <w:rPr>
          <w:rFonts w:ascii="Arial" w:cs="Arial" w:hAnsi="Arial"/>
          <w:lang w:val="es-MX"/>
        </w:rPr>
      </w:pPr>
      <w:r>
        <w:rPr>
          <w:rFonts w:ascii="Arial" w:cs="Arial" w:hAnsi="Arial"/>
          <w:lang w:val="es-MX"/>
        </w:rPr>
        <w:t xml:space="preserve">Según el Diagnostico </w:t>
      </w:r>
      <w:r>
        <w:rPr>
          <w:rFonts w:ascii="Arial" w:cs="Arial" w:hAnsi="Arial"/>
          <w:lang w:val="es-MX"/>
        </w:rPr>
        <w:t>L</w:t>
      </w:r>
      <w:r>
        <w:rPr>
          <w:rFonts w:ascii="Arial" w:cs="Arial" w:hAnsi="Arial"/>
          <w:lang w:val="es-MX"/>
        </w:rPr>
        <w:t>ocal del Observatorio de Mujeres y Equidad de</w:t>
      </w:r>
      <w:r>
        <w:rPr>
          <w:rFonts w:ascii="Arial" w:cs="Arial" w:hAnsi="Arial"/>
          <w:lang w:val="es-MX"/>
        </w:rPr>
        <w:t xml:space="preserve"> </w:t>
      </w:r>
      <w:r>
        <w:rPr>
          <w:rFonts w:ascii="Arial" w:cs="Arial" w:hAnsi="Arial"/>
          <w:lang w:val="es-MX"/>
        </w:rPr>
        <w:t>Gén</w:t>
      </w:r>
      <w:r>
        <w:rPr>
          <w:rFonts w:ascii="Arial" w:cs="Arial" w:hAnsi="Arial"/>
          <w:lang w:val="es-MX"/>
        </w:rPr>
        <w:t>e</w:t>
      </w:r>
      <w:r>
        <w:rPr>
          <w:rFonts w:ascii="Arial" w:cs="Arial" w:hAnsi="Arial"/>
          <w:lang w:val="es-MX"/>
        </w:rPr>
        <w:t xml:space="preserve">ro de Bogotá, </w:t>
      </w:r>
      <w:r>
        <w:rPr>
          <w:rFonts w:ascii="Arial" w:cs="Arial" w:eastAsia="Times New Roman" w:hAnsi="Arial"/>
          <w:lang w:val="es-MX"/>
        </w:rPr>
        <w:t xml:space="preserve">Una de cada </w:t>
      </w:r>
      <w:r>
        <w:rPr>
          <w:rFonts w:ascii="Arial" w:cs="Arial" w:eastAsia="Times New Roman" w:hAnsi="Arial"/>
          <w:lang w:val="es-MX"/>
        </w:rPr>
        <w:t>tres</w:t>
      </w:r>
      <w:r>
        <w:rPr>
          <w:rFonts w:ascii="Arial" w:cs="Arial" w:eastAsia="Times New Roman" w:hAnsi="Arial"/>
          <w:lang w:val="es-MX"/>
        </w:rPr>
        <w:t xml:space="preserve"> mujeres de 15 años o más no estudia por los costos elevados de la educación y una de cada 5 porque necesita trabajar. De cada </w:t>
      </w:r>
      <w:r>
        <w:rPr>
          <w:rFonts w:ascii="Arial" w:cs="Arial" w:eastAsia="Times New Roman" w:hAnsi="Arial"/>
          <w:lang w:val="es-MX"/>
        </w:rPr>
        <w:t xml:space="preserve">diez </w:t>
      </w:r>
      <w:r>
        <w:rPr>
          <w:rFonts w:ascii="Arial" w:cs="Arial" w:eastAsia="Times New Roman" w:hAnsi="Arial"/>
          <w:lang w:val="es-MX"/>
        </w:rPr>
        <w:t xml:space="preserve"> personas que manifiestan que no estudian por realizar labores domésticas, todas son mujeres</w:t>
      </w:r>
      <w:r>
        <w:rPr>
          <w:rFonts w:ascii="Arial" w:cs="Arial" w:eastAsia="Times New Roman" w:hAnsi="Arial"/>
          <w:lang w:val="es-MX"/>
        </w:rPr>
        <w:t>.</w:t>
      </w:r>
    </w:p>
    <w:p>
      <w:pPr>
        <w:pStyle w:val="style0"/>
        <w:spacing w:after="0" w:lineRule="auto" w:line="240"/>
        <w:jc w:val="both"/>
        <w:rPr>
          <w:rStyle w:val="style4099"/>
          <w:color w:val="auto"/>
          <w:lang w:val="es-MX"/>
        </w:rPr>
      </w:pPr>
    </w:p>
    <w:p>
      <w:pPr>
        <w:pStyle w:val="style0"/>
        <w:spacing w:after="0" w:lineRule="auto" w:line="240"/>
        <w:jc w:val="both"/>
        <w:rPr>
          <w:rStyle w:val="style4099"/>
          <w:color w:val="auto"/>
          <w:lang w:val="es-MX"/>
        </w:rPr>
      </w:pPr>
      <w:r>
        <w:rPr>
          <w:rStyle w:val="style4099"/>
          <w:color w:val="auto"/>
          <w:lang w:val="es-MX"/>
        </w:rPr>
        <w:t>Respecto de la primera infancia, la localidad tiene los niveles más bajos a nivel distrital, en demanda potencial de jardines Infantiles</w:t>
      </w:r>
      <w:r>
        <w:rPr>
          <w:rStyle w:val="style4099"/>
          <w:color w:val="auto"/>
          <w:lang w:val="es-MX"/>
        </w:rPr>
        <w:t>, lo que justifica la ausencia de este servicio por parte de la Secretaría Distrital de Integración Social.</w:t>
      </w:r>
      <w:r>
        <w:rPr>
          <w:rStyle w:val="style4099"/>
          <w:color w:val="auto"/>
          <w:lang w:val="es-MX"/>
        </w:rPr>
        <w:t xml:space="preserve"> </w:t>
      </w:r>
    </w:p>
    <w:p>
      <w:pPr>
        <w:pStyle w:val="style0"/>
        <w:spacing w:after="0" w:lineRule="auto" w:line="240"/>
        <w:jc w:val="both"/>
        <w:rPr>
          <w:rStyle w:val="style4099"/>
          <w:color w:val="auto"/>
          <w:lang w:val="es-MX"/>
        </w:rPr>
      </w:pPr>
    </w:p>
    <w:p>
      <w:pPr>
        <w:pStyle w:val="style0"/>
        <w:spacing w:after="0" w:lineRule="auto" w:line="240"/>
        <w:jc w:val="center"/>
        <w:rPr>
          <w:rFonts w:ascii="Arial" w:cs="Arial" w:eastAsia="Times New Roman" w:hAnsi="Arial"/>
          <w:lang w:val="es-MX"/>
        </w:rPr>
      </w:pPr>
      <w:r>
        <w:rPr>
          <w:rFonts w:ascii="Arial" w:cs="Arial" w:hAnsi="Arial"/>
          <w:noProof/>
          <w:lang w:eastAsia="es-CO"/>
        </w:rPr>
        <w:drawing>
          <wp:inline distL="0" distT="0" distB="0" distR="0">
            <wp:extent cx="4066659" cy="3000375"/>
            <wp:effectExtent l="0" t="0" r="0" b="0"/>
            <wp:docPr id="1041" name="Imagen 4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3" name="Imagen 49"/>
                    <pic:cNvPicPr/>
                  </pic:nvPicPr>
                  <pic:blipFill>
                    <a:blip r:embed="rId19" cstate="print"/>
                    <a:srcRect l="28252" t="19327" r="26947" b="17639"/>
                    <a:stretch/>
                  </pic:blipFill>
                  <pic:spPr>
                    <a:xfrm rot="0">
                      <a:off x="0" y="0"/>
                      <a:ext cx="4066659" cy="3000375"/>
                    </a:xfrm>
                    <a:prstGeom prst="rect"/>
                    <a:ln>
                      <a:noFill/>
                    </a:ln>
                  </pic:spPr>
                </pic:pic>
              </a:graphicData>
            </a:graphic>
          </wp:inline>
        </w:drawing>
      </w:r>
    </w:p>
    <w:p>
      <w:pPr>
        <w:pStyle w:val="style0"/>
        <w:spacing w:after="0" w:lineRule="auto" w:line="240"/>
        <w:jc w:val="center"/>
        <w:rPr>
          <w:rFonts w:ascii="Arial" w:cs="Arial" w:hAnsi="Arial"/>
          <w:lang w:val="es-MX"/>
        </w:rPr>
      </w:pPr>
      <w:r>
        <w:rPr>
          <w:rFonts w:ascii="Arial" w:cs="Arial" w:hAnsi="Arial"/>
          <w:lang w:val="es-MX"/>
        </w:rPr>
        <w:t>FUENTE: INDICADORES DE DIAGNOSTICO LOCAL PARA LAS COMPETENCIAS DEL</w:t>
      </w:r>
      <w:r>
        <w:rPr>
          <w:rFonts w:ascii="Arial" w:cs="Arial" w:hAnsi="Arial"/>
          <w:lang w:val="es-MX"/>
        </w:rPr>
        <w:t xml:space="preserve"> </w:t>
      </w:r>
      <w:r>
        <w:rPr>
          <w:rFonts w:ascii="Arial" w:cs="Arial" w:hAnsi="Arial"/>
          <w:lang w:val="es-MX"/>
        </w:rPr>
        <w:t>ACUERDO 740 DE 2019</w:t>
      </w:r>
    </w:p>
    <w:p>
      <w:pPr>
        <w:pStyle w:val="style0"/>
        <w:jc w:val="center"/>
        <w:rPr>
          <w:rFonts w:ascii="Arial" w:cs="Arial" w:hAnsi="Arial"/>
          <w:lang w:val="es-MX"/>
        </w:rPr>
      </w:pPr>
    </w:p>
    <w:p>
      <w:pPr>
        <w:pStyle w:val="style0"/>
        <w:jc w:val="center"/>
        <w:rPr>
          <w:rFonts w:ascii="Arial" w:cs="Arial" w:hAnsi="Arial"/>
          <w:lang w:val="es-MX"/>
        </w:rPr>
      </w:pPr>
    </w:p>
    <w:p>
      <w:pPr>
        <w:pStyle w:val="style0"/>
        <w:jc w:val="center"/>
        <w:rPr>
          <w:rFonts w:ascii="Arial" w:cs="Arial" w:hAnsi="Arial"/>
          <w:lang w:val="es-MX"/>
        </w:rPr>
      </w:pPr>
    </w:p>
    <w:p>
      <w:pPr>
        <w:pStyle w:val="style0"/>
        <w:spacing w:after="0" w:lineRule="auto" w:line="240"/>
        <w:jc w:val="center"/>
        <w:rPr>
          <w:rFonts w:ascii="Arial" w:cs="Arial" w:eastAsia="Times New Roman" w:hAnsi="Arial"/>
          <w:lang w:val="es-MX"/>
        </w:rPr>
      </w:pPr>
    </w:p>
    <w:bookmarkStart w:id="24" w:name="_Toc47477396"/>
    <w:p>
      <w:pPr>
        <w:pStyle w:val="style2"/>
        <w:rPr>
          <w:rStyle w:val="style4099"/>
          <w:color w:val="auto"/>
        </w:rPr>
      </w:pPr>
      <w:r>
        <w:rPr>
          <w:rStyle w:val="style4099"/>
          <w:color w:val="auto"/>
        </w:rPr>
        <w:t>COMPONENTE PARTICIPATIVO DE INVERSIÓN:</w:t>
      </w:r>
      <w:bookmarkEnd w:id="24"/>
      <w:r>
        <w:rPr>
          <w:rStyle w:val="style4099"/>
          <w:color w:val="auto"/>
        </w:rPr>
        <w:t xml:space="preserve"> </w:t>
      </w:r>
    </w:p>
    <w:p>
      <w:pPr>
        <w:pStyle w:val="style0"/>
        <w:rPr/>
      </w:pPr>
    </w:p>
    <w:bookmarkStart w:id="25" w:name="_Toc47477397"/>
    <w:p>
      <w:pPr>
        <w:pStyle w:val="style3"/>
        <w:rPr>
          <w:rFonts w:ascii="Arial" w:cs="Arial" w:hAnsi="Arial"/>
          <w:color w:val="auto"/>
          <w:sz w:val="22"/>
          <w:szCs w:val="22"/>
        </w:rPr>
      </w:pPr>
      <w:r>
        <w:rPr>
          <w:rFonts w:ascii="Arial" w:cs="Arial" w:hAnsi="Arial"/>
          <w:color w:val="auto"/>
          <w:sz w:val="22"/>
          <w:szCs w:val="22"/>
        </w:rPr>
        <w:t>DESARROLLO SOCIAL Y CUTURAL</w:t>
      </w:r>
      <w:bookmarkEnd w:id="25"/>
      <w:r>
        <w:rPr>
          <w:rFonts w:ascii="Arial" w:cs="Arial" w:hAnsi="Arial"/>
          <w:color w:val="auto"/>
          <w:sz w:val="22"/>
          <w:szCs w:val="22"/>
        </w:rPr>
        <w:t xml:space="preserve"> </w:t>
      </w:r>
    </w:p>
    <w:p>
      <w:pPr>
        <w:pStyle w:val="style0"/>
        <w:rPr>
          <w:rFonts w:ascii="Arial" w:cs="Arial" w:hAnsi="Arial"/>
        </w:rPr>
      </w:pPr>
    </w:p>
    <w:p>
      <w:pPr>
        <w:pStyle w:val="style4"/>
        <w:rPr>
          <w:rFonts w:ascii="Arial" w:cs="Arial" w:hAnsi="Arial"/>
          <w:color w:val="auto"/>
        </w:rPr>
      </w:pPr>
      <w:r>
        <w:rPr>
          <w:rFonts w:ascii="Arial" w:cs="Arial" w:hAnsi="Arial"/>
          <w:color w:val="auto"/>
        </w:rPr>
        <w:t>Sector Cultura, Recreación y Deporte</w:t>
      </w:r>
    </w:p>
    <w:p>
      <w:pPr>
        <w:pStyle w:val="style0"/>
        <w:rPr>
          <w:rFonts w:ascii="Arial" w:cs="Arial" w:hAnsi="Arial"/>
        </w:rPr>
      </w:pPr>
    </w:p>
    <w:p>
      <w:pPr>
        <w:pStyle w:val="style0"/>
        <w:jc w:val="both"/>
        <w:rPr>
          <w:rFonts w:ascii="Arial" w:cs="Arial" w:hAnsi="Arial"/>
        </w:rPr>
      </w:pPr>
      <w:r>
        <w:rPr>
          <w:rFonts w:ascii="Arial" w:cs="Arial" w:hAnsi="Arial"/>
        </w:rPr>
        <w:t>La localidad de la Candelaria presenta una alta participación en las actividades u organizaciones artísticas y culturales y una mediana en participación de actividades deportivas. Ocupa el tercer lugar a nivel distrital de personas mayores de 20 año</w:t>
      </w:r>
      <w:r>
        <w:rPr>
          <w:rFonts w:ascii="Arial" w:cs="Arial" w:hAnsi="Arial"/>
        </w:rPr>
        <w:t>s</w:t>
      </w:r>
      <w:r>
        <w:rPr>
          <w:rFonts w:ascii="Arial" w:cs="Arial" w:hAnsi="Arial"/>
        </w:rPr>
        <w:t xml:space="preserve"> que hacen parte de organizaciones artísticas y el tercer lugar en personas que asisten a eventos artísticos. </w:t>
      </w:r>
    </w:p>
    <w:p>
      <w:pPr>
        <w:pStyle w:val="style0"/>
        <w:jc w:val="center"/>
        <w:rPr>
          <w:rFonts w:ascii="Arial" w:cs="Arial" w:hAnsi="Arial"/>
        </w:rPr>
      </w:pPr>
      <w:r>
        <w:rPr>
          <w:rFonts w:ascii="Arial" w:cs="Arial" w:hAnsi="Arial"/>
          <w:noProof/>
          <w:lang w:eastAsia="es-CO"/>
        </w:rPr>
        <w:drawing>
          <wp:inline distL="0" distT="0" distB="0" distR="0">
            <wp:extent cx="5372100" cy="3470804"/>
            <wp:effectExtent l="0" t="0" r="0" b="0"/>
            <wp:docPr id="1042" name="Imagen 1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Imagen 18"/>
                    <pic:cNvPicPr/>
                  </pic:nvPicPr>
                  <pic:blipFill>
                    <a:blip r:embed="rId20" cstate="print"/>
                    <a:srcRect l="26816" t="31697" r="22607" b="7930"/>
                    <a:stretch/>
                  </pic:blipFill>
                  <pic:spPr>
                    <a:xfrm rot="0">
                      <a:off x="0" y="0"/>
                      <a:ext cx="5372100" cy="3470804"/>
                    </a:xfrm>
                    <a:prstGeom prst="rect"/>
                    <a:ln>
                      <a:noFill/>
                    </a:ln>
                  </pic:spPr>
                </pic:pic>
              </a:graphicData>
            </a:graphic>
          </wp:inline>
        </w:drawing>
      </w:r>
    </w:p>
    <w:p>
      <w:pPr>
        <w:pStyle w:val="style0"/>
        <w:jc w:val="center"/>
        <w:rPr>
          <w:rFonts w:ascii="Arial" w:cs="Arial" w:hAnsi="Arial"/>
        </w:rPr>
      </w:pPr>
      <w:r>
        <w:rPr>
          <w:rFonts w:ascii="Arial" w:cs="Arial" w:hAnsi="Arial"/>
          <w:lang w:val="es-MX"/>
        </w:rPr>
        <w:t>FUENTE: INDICADORES DE DIAGNOSTICO LOCAL, SDP, 2019.</w:t>
      </w:r>
    </w:p>
    <w:p>
      <w:pPr>
        <w:pStyle w:val="style0"/>
        <w:jc w:val="center"/>
        <w:rPr>
          <w:rFonts w:ascii="Arial" w:cs="Arial" w:hAnsi="Arial"/>
        </w:rPr>
      </w:pPr>
    </w:p>
    <w:p>
      <w:pPr>
        <w:pStyle w:val="style0"/>
        <w:jc w:val="center"/>
        <w:rPr>
          <w:rFonts w:ascii="Arial" w:cs="Arial" w:hAnsi="Arial"/>
        </w:rPr>
      </w:pPr>
      <w:r>
        <w:rPr>
          <w:rFonts w:ascii="Arial" w:cs="Arial" w:hAnsi="Arial"/>
          <w:noProof/>
          <w:lang w:eastAsia="es-CO"/>
        </w:rPr>
        <w:drawing>
          <wp:inline distL="0" distT="0" distB="0" distR="0">
            <wp:extent cx="5229225" cy="3152463"/>
            <wp:effectExtent l="0" t="0" r="0" b="0"/>
            <wp:docPr id="1043" name="Imagen 1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5" name="Imagen 19"/>
                    <pic:cNvPicPr/>
                  </pic:nvPicPr>
                  <pic:blipFill>
                    <a:blip r:embed="rId21" cstate="print"/>
                    <a:srcRect l="24779" t="18716" r="23455" b="22419"/>
                    <a:stretch/>
                  </pic:blipFill>
                  <pic:spPr>
                    <a:xfrm rot="0">
                      <a:off x="0" y="0"/>
                      <a:ext cx="5229225" cy="3152463"/>
                    </a:xfrm>
                    <a:prstGeom prst="rect"/>
                    <a:ln>
                      <a:noFill/>
                    </a:ln>
                  </pic:spPr>
                </pic:pic>
              </a:graphicData>
            </a:graphic>
          </wp:inline>
        </w:drawing>
      </w:r>
    </w:p>
    <w:p>
      <w:pPr>
        <w:pStyle w:val="style0"/>
        <w:jc w:val="center"/>
        <w:rPr>
          <w:rFonts w:ascii="Arial" w:cs="Arial" w:hAnsi="Arial"/>
        </w:rPr>
      </w:pPr>
      <w:r>
        <w:rPr>
          <w:rFonts w:ascii="Arial" w:cs="Arial" w:hAnsi="Arial"/>
          <w:lang w:val="es-MX"/>
        </w:rPr>
        <w:t>FUENTE: INDICADORES DE DIAGNOSTICO LOCAL, SDP, 2019.</w:t>
      </w:r>
    </w:p>
    <w:p>
      <w:pPr>
        <w:pStyle w:val="style0"/>
        <w:spacing w:after="0" w:lineRule="auto" w:line="240"/>
        <w:jc w:val="both"/>
        <w:rPr>
          <w:rFonts w:ascii="Arial" w:cs="Arial" w:eastAsia="Times New Roman" w:hAnsi="Arial"/>
          <w:lang w:val="es-MX"/>
        </w:rPr>
      </w:pPr>
    </w:p>
    <w:p>
      <w:pPr>
        <w:pStyle w:val="style0"/>
        <w:spacing w:after="0" w:lineRule="auto" w:line="240"/>
        <w:jc w:val="center"/>
        <w:rPr>
          <w:rFonts w:ascii="Arial" w:cs="Arial" w:eastAsia="Times New Roman" w:hAnsi="Arial"/>
          <w:lang w:val="es-MX"/>
        </w:rPr>
      </w:pPr>
      <w:r>
        <w:rPr>
          <w:rFonts w:ascii="Arial" w:cs="Arial" w:hAnsi="Arial"/>
          <w:noProof/>
          <w:lang w:eastAsia="es-CO"/>
        </w:rPr>
        <w:drawing>
          <wp:inline distL="0" distT="0" distB="0" distR="0">
            <wp:extent cx="5076825" cy="3134246"/>
            <wp:effectExtent l="0" t="0" r="0" b="9525"/>
            <wp:docPr id="1044" name="Imagen 2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Imagen 20"/>
                    <pic:cNvPicPr/>
                  </pic:nvPicPr>
                  <pic:blipFill>
                    <a:blip r:embed="rId23" cstate="print"/>
                    <a:srcRect l="24270" t="21736" r="22947" b="20305"/>
                    <a:stretch/>
                  </pic:blipFill>
                  <pic:spPr>
                    <a:xfrm rot="0">
                      <a:off x="0" y="0"/>
                      <a:ext cx="5076825" cy="3134246"/>
                    </a:xfrm>
                    <a:prstGeom prst="rect"/>
                    <a:ln>
                      <a:noFill/>
                    </a:ln>
                  </pic:spPr>
                </pic:pic>
              </a:graphicData>
            </a:graphic>
          </wp:inline>
        </w:drawing>
      </w:r>
    </w:p>
    <w:p>
      <w:pPr>
        <w:pStyle w:val="style0"/>
        <w:autoSpaceDE w:val="false"/>
        <w:autoSpaceDN w:val="false"/>
        <w:adjustRightInd w:val="false"/>
        <w:spacing w:lineRule="auto" w:line="251"/>
        <w:jc w:val="center"/>
        <w:rPr>
          <w:rFonts w:ascii="Arial" w:cs="Arial" w:hAnsi="Arial"/>
        </w:rPr>
      </w:pPr>
      <w:r>
        <w:rPr>
          <w:rFonts w:ascii="Arial" w:cs="Arial" w:hAnsi="Arial"/>
          <w:lang w:val="es-MX"/>
        </w:rPr>
        <w:t>FUENTE: INDICADORES DE DIAGNOSTICO LOCAL, SDP, 2019.</w:t>
      </w:r>
    </w:p>
    <w:p>
      <w:pPr>
        <w:pStyle w:val="style0"/>
        <w:spacing w:after="0" w:lineRule="auto" w:line="240"/>
        <w:jc w:val="center"/>
        <w:rPr>
          <w:rFonts w:ascii="Arial" w:cs="Arial" w:eastAsia="Times New Roman" w:hAnsi="Arial"/>
          <w:lang w:val="es-MX"/>
        </w:rPr>
      </w:pPr>
      <w:r>
        <w:rPr>
          <w:rFonts w:ascii="Arial" w:cs="Arial" w:hAnsi="Arial"/>
          <w:noProof/>
          <w:lang w:eastAsia="es-CO"/>
        </w:rPr>
        <w:drawing>
          <wp:inline distL="0" distT="0" distB="0" distR="0">
            <wp:extent cx="5241143" cy="3476625"/>
            <wp:effectExtent l="0" t="0" r="0" b="0"/>
            <wp:docPr id="1045" name="Imagen 2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Imagen 21"/>
                    <pic:cNvPicPr/>
                  </pic:nvPicPr>
                  <pic:blipFill>
                    <a:blip r:embed="rId24" cstate="print"/>
                    <a:srcRect l="25628" t="22338" r="23455" b="17589"/>
                    <a:stretch/>
                  </pic:blipFill>
                  <pic:spPr>
                    <a:xfrm rot="0">
                      <a:off x="0" y="0"/>
                      <a:ext cx="5241143" cy="3476625"/>
                    </a:xfrm>
                    <a:prstGeom prst="rect"/>
                    <a:ln>
                      <a:noFill/>
                    </a:ln>
                  </pic:spPr>
                </pic:pic>
              </a:graphicData>
            </a:graphic>
          </wp:inline>
        </w:drawing>
      </w:r>
    </w:p>
    <w:p>
      <w:pPr>
        <w:pStyle w:val="style0"/>
        <w:autoSpaceDE w:val="false"/>
        <w:autoSpaceDN w:val="false"/>
        <w:adjustRightInd w:val="false"/>
        <w:spacing w:lineRule="auto" w:line="251"/>
        <w:jc w:val="center"/>
        <w:rPr>
          <w:rFonts w:ascii="Arial" w:cs="Arial" w:hAnsi="Arial"/>
        </w:rPr>
      </w:pPr>
      <w:r>
        <w:rPr>
          <w:rFonts w:ascii="Arial" w:cs="Arial" w:hAnsi="Arial"/>
          <w:lang w:val="es-MX"/>
        </w:rPr>
        <w:t>FUENTE: INDICADORES DE DIAGNOSTICO LOCAL, SDP, 2019.</w:t>
      </w:r>
    </w:p>
    <w:p>
      <w:pPr>
        <w:pStyle w:val="style0"/>
        <w:spacing w:after="0" w:lineRule="auto" w:line="240"/>
        <w:jc w:val="center"/>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La localidad cuenta con un heterogéneo y considerable número de organizaciones y agentes culturales que se concentran en las diferentes áreas artísticas. De las 73 organizaciones identificadas en la base de datos, música es el área artística que agrupa mayor número de organizaciones (27), cifra que equivale al 36,98%. Le siguen</w:t>
      </w:r>
      <w:r>
        <w:rPr>
          <w:rFonts w:ascii="Arial" w:cs="Arial" w:eastAsia="Times New Roman" w:hAnsi="Arial"/>
          <w:lang w:val="es-MX"/>
        </w:rPr>
        <w:t xml:space="preserve"> </w:t>
      </w:r>
      <w:r>
        <w:rPr>
          <w:rFonts w:ascii="Arial" w:cs="Arial" w:eastAsia="Times New Roman" w:hAnsi="Arial"/>
          <w:lang w:val="es-MX"/>
        </w:rPr>
        <w:t>en su orden</w:t>
      </w:r>
      <w:r>
        <w:rPr>
          <w:rFonts w:ascii="Arial" w:cs="Arial" w:eastAsia="Times New Roman" w:hAnsi="Arial"/>
          <w:lang w:val="es-MX"/>
        </w:rPr>
        <w:t xml:space="preserve">: </w:t>
      </w:r>
      <w:r>
        <w:rPr>
          <w:rFonts w:ascii="Arial" w:cs="Arial" w:eastAsia="Times New Roman" w:hAnsi="Arial"/>
          <w:lang w:val="es-MX"/>
        </w:rPr>
        <w:t>arte dramático (23), equivalente al 31,50%; danza (4), un 5,47%; artes plásticas (3), el 4,10%; audiovisuales (3), un 4,10% y literatura (2), es decir, el 2,73%*.</w:t>
      </w:r>
      <w:r>
        <w:rPr>
          <w:rStyle w:val="style38"/>
          <w:rFonts w:ascii="Arial" w:cs="Arial" w:eastAsia="Times New Roman" w:hAnsi="Arial"/>
          <w:lang w:val="es-MX"/>
        </w:rPr>
        <w:footnoteReference w:id="2"/>
      </w:r>
    </w:p>
    <w:p>
      <w:pPr>
        <w:pStyle w:val="style0"/>
        <w:spacing w:after="0" w:lineRule="auto" w:line="240"/>
        <w:jc w:val="both"/>
        <w:rPr>
          <w:rFonts w:ascii="Arial" w:cs="Arial" w:eastAsia="Times New Roman" w:hAnsi="Arial"/>
          <w:lang w:val="es-MX"/>
        </w:rPr>
      </w:pPr>
      <w:r>
        <w:rPr>
          <w:rFonts w:ascii="Arial" w:cs="Arial" w:eastAsia="Times New Roman" w:hAnsi="Arial"/>
          <w:lang w:val="es-MX"/>
        </w:rPr>
        <w:br/>
      </w:r>
      <w:r>
        <w:rPr>
          <w:rFonts w:ascii="Arial" w:cs="Arial" w:eastAsia="Times New Roman" w:hAnsi="Arial"/>
          <w:lang w:val="es-MX"/>
        </w:rPr>
        <w:t>La localidad de La Candelaria ha sido ampliamente reconocida por su vocación cultural e histórica, por su constante actividad artística, estética y comunicativa, mediante la cual se expresan ideas, emociones y tradiciones, es decir, una visión del mundo a través de las áreas de expresión artística y cultural. Actualmente se desarrolla en la localidad una amplia oferta artística, comprendida en eventos y actividades culturales y deportivas, fiestas tradicionales de La Candelaria, procesos de formación en diversas disciplinas artísticas</w:t>
      </w:r>
      <w:r>
        <w:rPr>
          <w:rFonts w:ascii="Arial" w:cs="Arial" w:eastAsia="Times New Roman" w:hAnsi="Arial"/>
          <w:lang w:val="es-MX"/>
        </w:rPr>
        <w:t xml:space="preserve"> y</w:t>
      </w:r>
      <w:r>
        <w:rPr>
          <w:rFonts w:ascii="Arial" w:cs="Arial" w:eastAsia="Times New Roman" w:hAnsi="Arial"/>
          <w:lang w:val="es-MX"/>
        </w:rPr>
        <w:t xml:space="preserve"> </w:t>
      </w:r>
    </w:p>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formación en distintas escuelas deportivas. </w:t>
      </w:r>
    </w:p>
    <w:p>
      <w:pPr>
        <w:pStyle w:val="style0"/>
        <w:spacing w:after="0" w:lineRule="auto" w:line="240"/>
        <w:jc w:val="both"/>
        <w:rPr>
          <w:rFonts w:ascii="Arial" w:cs="Arial" w:eastAsia="Times New Roman" w:hAnsi="Arial"/>
          <w:lang w:val="es-MX"/>
        </w:rPr>
      </w:pPr>
      <w:r>
        <w:rPr>
          <w:rFonts w:ascii="Arial" w:cs="Arial" w:eastAsia="Times New Roman" w:hAnsi="Arial"/>
          <w:lang w:val="es-MX"/>
        </w:rPr>
        <w:br/>
      </w:r>
      <w:r>
        <w:rPr>
          <w:rFonts w:ascii="Arial" w:cs="Arial" w:eastAsia="Times New Roman" w:hAnsi="Arial"/>
          <w:lang w:val="es-MX"/>
        </w:rPr>
        <w:t>De la misma manera se brindan los mecanismos necesarios para la realización de numerosas iniciativas comunales como una forma de apoyar las expresiones y manifestaciones artísticas, culturales y deportivas de los habitantes de la localidad.</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hAnsi="Arial"/>
        </w:rPr>
      </w:pPr>
      <w:r>
        <w:rPr>
          <w:rFonts w:ascii="Arial" w:cs="Arial" w:eastAsia="Times New Roman" w:hAnsi="Arial"/>
          <w:lang w:val="es-MX"/>
        </w:rPr>
        <w:t xml:space="preserve">Según la Secretaría Distrital de Planeación </w:t>
      </w:r>
      <w:r>
        <w:rPr>
          <w:rFonts w:ascii="Arial" w:cs="Arial" w:hAnsi="Arial"/>
        </w:rPr>
        <w:t>en las temáticas asociadas a los Conceptos de Gasto de la Línea de Inversión de “Cultura, Recreación y Deporte”, la localidad presenta en general un comportamiento de nivel medio-alto y alto, tanto en los temas recreo-deportivos, como en los artísticos y culturales.</w:t>
      </w:r>
    </w:p>
    <w:p>
      <w:pPr>
        <w:pStyle w:val="style0"/>
        <w:spacing w:after="0" w:lineRule="auto" w:line="240"/>
        <w:jc w:val="both"/>
        <w:rPr>
          <w:rFonts w:ascii="Arial" w:cs="Arial" w:eastAsia="Times New Roman" w:hAnsi="Arial"/>
          <w:lang w:val="es-MX"/>
        </w:rPr>
      </w:pPr>
    </w:p>
    <w:p>
      <w:pPr>
        <w:pStyle w:val="style0"/>
        <w:jc w:val="both"/>
        <w:rPr>
          <w:rFonts w:ascii="Arial" w:cs="Arial" w:hAnsi="Arial"/>
          <w:lang w:val="es-MX"/>
        </w:rPr>
      </w:pPr>
      <w:r>
        <w:rPr>
          <w:rFonts w:ascii="Arial" w:cs="Arial" w:hAnsi="Arial"/>
          <w:lang w:val="es-MX"/>
        </w:rPr>
        <w:t>Conceptos de gasto de cultura</w:t>
      </w:r>
    </w:p>
    <w:p>
      <w:pPr>
        <w:pStyle w:val="style5"/>
        <w:rPr>
          <w:rStyle w:val="style4099"/>
          <w:color w:val="auto"/>
        </w:rPr>
      </w:pPr>
      <w:r>
        <w:rPr>
          <w:rStyle w:val="style4099"/>
          <w:b/>
          <w:color w:val="auto"/>
          <w:lang w:val="es-MX"/>
        </w:rPr>
        <w:t>Fiestas y eventos</w:t>
      </w:r>
      <w:r>
        <w:rPr>
          <w:rStyle w:val="style4099"/>
          <w:b/>
          <w:color w:val="auto"/>
          <w:lang w:val="es-MX"/>
        </w:rPr>
        <w:t xml:space="preserve"> CULTURALES Y DEPORTIVOS </w:t>
      </w:r>
    </w:p>
    <w:p>
      <w:pPr>
        <w:pStyle w:val="style0"/>
        <w:jc w:val="both"/>
        <w:rPr>
          <w:rFonts w:ascii="Arial" w:cs="Arial" w:hAnsi="Arial"/>
          <w:lang w:val="es-MX"/>
        </w:rPr>
      </w:pPr>
    </w:p>
    <w:p>
      <w:pPr>
        <w:pStyle w:val="style0"/>
        <w:jc w:val="both"/>
        <w:rPr>
          <w:rFonts w:ascii="Arial" w:cs="Arial" w:hAnsi="Arial"/>
          <w:lang w:val="es-MX"/>
        </w:rPr>
      </w:pPr>
      <w:r>
        <w:rPr>
          <w:rFonts w:ascii="Arial" w:cs="Arial" w:hAnsi="Arial"/>
          <w:lang w:val="es-MX"/>
        </w:rPr>
        <w:t>Las fiestas constituyen una parte fundamental de las costumbres de la población candelaria, entre ellas se encuentra:</w:t>
      </w:r>
    </w:p>
    <w:p>
      <w:pPr>
        <w:pStyle w:val="style0"/>
        <w:jc w:val="both"/>
        <w:rPr>
          <w:rStyle w:val="style4099"/>
          <w:lang w:val="es-MX"/>
        </w:rPr>
      </w:pPr>
      <w:r>
        <w:rPr>
          <w:rStyle w:val="style4099"/>
          <w:lang w:val="es-MX"/>
        </w:rPr>
        <w:t>Fiesta de Reyes: primer puente de enero, declarada como manifestación de interés cultural</w:t>
      </w:r>
      <w:r>
        <w:rPr>
          <w:rFonts w:ascii="Arial" w:cs="Arial" w:hAnsi="Arial"/>
          <w:lang w:val="es-MX"/>
        </w:rPr>
        <w:br/>
      </w:r>
      <w:r>
        <w:rPr>
          <w:rStyle w:val="style4099"/>
          <w:lang w:val="es-MX"/>
        </w:rPr>
        <w:t>y patrimonial del Centro Histórico mediante acuerdo local 005 de 2013 (acuerdo que</w:t>
      </w:r>
      <w:r>
        <w:rPr>
          <w:rFonts w:ascii="Arial" w:cs="Arial" w:hAnsi="Arial"/>
          <w:lang w:val="es-MX"/>
        </w:rPr>
        <w:br/>
      </w:r>
      <w:r>
        <w:rPr>
          <w:rStyle w:val="style4099"/>
          <w:lang w:val="es-MX"/>
        </w:rPr>
        <w:t>garantiza el apoyo logístico y financiero de este evento), esta es la representación y</w:t>
      </w:r>
      <w:r>
        <w:rPr>
          <w:rFonts w:ascii="Arial" w:cs="Arial" w:hAnsi="Arial"/>
          <w:lang w:val="es-MX"/>
        </w:rPr>
        <w:br/>
      </w:r>
      <w:r>
        <w:rPr>
          <w:rStyle w:val="style4099"/>
          <w:lang w:val="es-MX"/>
        </w:rPr>
        <w:t xml:space="preserve">adoración a los reyes magos, es la fiesta más tradicional de la localidad de La Candelaria que involucra a la comunidad y </w:t>
      </w:r>
      <w:r>
        <w:rPr>
          <w:rStyle w:val="style4099"/>
          <w:lang w:val="es-MX"/>
        </w:rPr>
        <w:t xml:space="preserve">se </w:t>
      </w:r>
      <w:r>
        <w:rPr>
          <w:rStyle w:val="style4099"/>
          <w:lang w:val="es-MX"/>
        </w:rPr>
        <w:t xml:space="preserve">constituye en </w:t>
      </w:r>
      <w:r>
        <w:rPr>
          <w:rStyle w:val="style4099"/>
          <w:lang w:val="es-MX"/>
        </w:rPr>
        <w:t xml:space="preserve">un </w:t>
      </w:r>
      <w:r>
        <w:rPr>
          <w:rStyle w:val="style4099"/>
          <w:lang w:val="es-MX"/>
        </w:rPr>
        <w:t xml:space="preserve">evento de patrimonio inmaterial de la ciudad, teniendo en cuenta sus más de </w:t>
      </w:r>
      <w:r>
        <w:rPr>
          <w:rStyle w:val="style4099"/>
          <w:lang w:val="es-MX"/>
        </w:rPr>
        <w:t>cien años</w:t>
      </w:r>
      <w:r>
        <w:rPr>
          <w:rStyle w:val="style4099"/>
          <w:lang w:val="es-MX"/>
        </w:rPr>
        <w:t xml:space="preserve"> de realización.</w:t>
      </w:r>
    </w:p>
    <w:p>
      <w:pPr>
        <w:pStyle w:val="style0"/>
        <w:jc w:val="both"/>
        <w:rPr>
          <w:rStyle w:val="style4099"/>
          <w:lang w:val="es-MX"/>
        </w:rPr>
      </w:pPr>
      <w:r>
        <w:rPr>
          <w:rStyle w:val="style4099"/>
          <w:lang w:val="es-MX"/>
        </w:rPr>
        <w:t xml:space="preserve">Fiesta de la </w:t>
      </w:r>
      <w:r>
        <w:rPr>
          <w:rStyle w:val="style4099"/>
          <w:lang w:val="es-MX"/>
        </w:rPr>
        <w:t>V</w:t>
      </w:r>
      <w:r>
        <w:rPr>
          <w:rStyle w:val="style4099"/>
          <w:lang w:val="es-MX"/>
        </w:rPr>
        <w:t>irgen del Carmen: 16 de ju</w:t>
      </w:r>
      <w:r>
        <w:rPr>
          <w:rStyle w:val="style4099"/>
          <w:lang w:val="es-MX"/>
        </w:rPr>
        <w:t>l</w:t>
      </w:r>
      <w:r>
        <w:rPr>
          <w:rStyle w:val="style4099"/>
          <w:lang w:val="es-MX"/>
        </w:rPr>
        <w:t>io en La Catedral Primada, esta fiesta en celebración de la Virgen del Carmen se celebra en todo el país, siendo la catedral primada uno de sus escenarios</w:t>
      </w:r>
      <w:r>
        <w:rPr>
          <w:rStyle w:val="style4099"/>
          <w:lang w:val="es-MX"/>
        </w:rPr>
        <w:t xml:space="preserve"> importantes</w:t>
      </w:r>
      <w:r>
        <w:rPr>
          <w:rStyle w:val="style4099"/>
          <w:lang w:val="es-MX"/>
        </w:rPr>
        <w:t>.</w:t>
      </w:r>
    </w:p>
    <w:p>
      <w:pPr>
        <w:pStyle w:val="style0"/>
        <w:jc w:val="both"/>
        <w:rPr>
          <w:rStyle w:val="style4099"/>
          <w:lang w:val="es-MX"/>
        </w:rPr>
      </w:pPr>
      <w:r>
        <w:rPr>
          <w:rStyle w:val="style4099"/>
          <w:lang w:val="es-MX"/>
        </w:rPr>
        <w:t>Navidad: La localidad goza de las fiestas navideñas, empezando por las actividades</w:t>
      </w:r>
      <w:r>
        <w:rPr>
          <w:rFonts w:ascii="Arial" w:cs="Arial" w:hAnsi="Arial"/>
          <w:lang w:val="es-MX"/>
        </w:rPr>
        <w:br/>
      </w:r>
      <w:r>
        <w:rPr>
          <w:rStyle w:val="style4099"/>
          <w:lang w:val="es-MX"/>
        </w:rPr>
        <w:t>organizadas por la Alcaldía Mayor de Bogotá en la Plaza Simón Bolívar, las actividades</w:t>
      </w:r>
      <w:r>
        <w:rPr>
          <w:rFonts w:ascii="Arial" w:cs="Arial" w:hAnsi="Arial"/>
          <w:lang w:val="es-MX"/>
        </w:rPr>
        <w:br/>
      </w:r>
      <w:r>
        <w:rPr>
          <w:rStyle w:val="style4099"/>
          <w:lang w:val="es-MX"/>
        </w:rPr>
        <w:t>religiosas en cada uno de los espacios religiosos locales y las celebraciones barriales.</w:t>
      </w:r>
    </w:p>
    <w:p>
      <w:pPr>
        <w:pStyle w:val="style0"/>
        <w:jc w:val="both"/>
        <w:rPr>
          <w:rStyle w:val="style4099"/>
          <w:lang w:val="es-MX"/>
        </w:rPr>
      </w:pPr>
      <w:r>
        <w:rPr>
          <w:rStyle w:val="style4099"/>
          <w:lang w:val="es-MX"/>
        </w:rPr>
        <w:t>Semana Santa: como epicentro de las iglesias más antiguas, la Candelaria hace Parte de toda la dinámica de celebración la semana santa.</w:t>
      </w:r>
    </w:p>
    <w:p>
      <w:pPr>
        <w:pStyle w:val="style0"/>
        <w:jc w:val="both"/>
        <w:rPr>
          <w:rStyle w:val="style4099"/>
          <w:lang w:val="es-MX"/>
        </w:rPr>
      </w:pPr>
      <w:r>
        <w:rPr>
          <w:rStyle w:val="style4099"/>
          <w:lang w:val="es-MX"/>
        </w:rPr>
        <w:t>Carnaval de Bogotá: El carnaval de Bogotá siendo tradición celebrarlo entre los días 5 y 6 de agosto, según programación se celebra en espacios y plazas de la ciudad</w:t>
      </w:r>
      <w:r>
        <w:rPr>
          <w:rStyle w:val="style4099"/>
          <w:lang w:val="es-MX"/>
        </w:rPr>
        <w:t xml:space="preserve">, incluyendo </w:t>
      </w:r>
      <w:r>
        <w:rPr>
          <w:rStyle w:val="style4099"/>
          <w:lang w:val="es-MX"/>
        </w:rPr>
        <w:t>l</w:t>
      </w:r>
      <w:r>
        <w:rPr>
          <w:rStyle w:val="style4099"/>
          <w:lang w:val="es-MX"/>
        </w:rPr>
        <w:t>a plaza</w:t>
      </w:r>
      <w:r>
        <w:rPr>
          <w:rStyle w:val="style4099"/>
          <w:lang w:val="es-MX"/>
        </w:rPr>
        <w:t xml:space="preserve"> Simón Bolívar </w:t>
      </w:r>
      <w:r>
        <w:rPr>
          <w:rStyle w:val="style4099"/>
          <w:lang w:val="es-MX"/>
        </w:rPr>
        <w:t xml:space="preserve">y la carrera séptima, como </w:t>
      </w:r>
      <w:r>
        <w:rPr>
          <w:rStyle w:val="style4099"/>
          <w:lang w:val="es-MX"/>
        </w:rPr>
        <w:t>uno de sus escenarios</w:t>
      </w:r>
      <w:r>
        <w:rPr>
          <w:rStyle w:val="style4099"/>
          <w:lang w:val="es-MX"/>
        </w:rPr>
        <w:t xml:space="preserve"> de mayor concurrencia</w:t>
      </w:r>
      <w:r>
        <w:rPr>
          <w:rStyle w:val="style4099"/>
          <w:lang w:val="es-MX"/>
        </w:rPr>
        <w:t>, es un evento que congrega las expresiones artistas de toda Bogotá y coincide con las celebraciones de fundación de la ciudad.</w:t>
      </w:r>
    </w:p>
    <w:p>
      <w:pPr>
        <w:pStyle w:val="style0"/>
        <w:jc w:val="both"/>
        <w:rPr>
          <w:rStyle w:val="style4099"/>
          <w:lang w:val="es-MX"/>
        </w:rPr>
      </w:pPr>
      <w:r>
        <w:rPr>
          <w:rStyle w:val="style4099"/>
          <w:lang w:val="es-MX"/>
        </w:rPr>
        <w:t>Celebración de las candelas o fiesta de La Candelaria: 2 de febrero de cada año, fiesta de las luces que se celebra en la localidad desde hace 90 años en conmemoración del</w:t>
      </w:r>
      <w:r>
        <w:rPr>
          <w:rFonts w:ascii="Arial" w:cs="Arial" w:hAnsi="Arial"/>
          <w:lang w:val="es-MX"/>
        </w:rPr>
        <w:br/>
      </w:r>
      <w:r>
        <w:rPr>
          <w:rStyle w:val="style4099"/>
          <w:lang w:val="es-MX"/>
        </w:rPr>
        <w:t>alumbramiento y presentación de Jesús en el templo, se acompaña con artistas y tiene su</w:t>
      </w:r>
      <w:r>
        <w:rPr>
          <w:rFonts w:ascii="Arial" w:cs="Arial" w:hAnsi="Arial"/>
          <w:lang w:val="es-MX"/>
        </w:rPr>
        <w:br/>
      </w:r>
      <w:r>
        <w:rPr>
          <w:rStyle w:val="style4099"/>
          <w:lang w:val="es-MX"/>
        </w:rPr>
        <w:t>particular recorrido de las luces.</w:t>
      </w:r>
    </w:p>
    <w:p>
      <w:pPr>
        <w:pStyle w:val="style0"/>
        <w:jc w:val="both"/>
        <w:rPr>
          <w:rStyle w:val="style4099"/>
          <w:lang w:val="es-MX"/>
        </w:rPr>
      </w:pPr>
      <w:r>
        <w:rPr>
          <w:rStyle w:val="style4099"/>
          <w:lang w:val="es-MX"/>
        </w:rPr>
        <w:t>Festival Centro: este festival musical de genero alternativo y electrónico que se hace en</w:t>
      </w:r>
      <w:r>
        <w:rPr>
          <w:rFonts w:ascii="Arial" w:cs="Arial" w:hAnsi="Arial"/>
          <w:lang w:val="es-MX"/>
        </w:rPr>
        <w:br/>
      </w:r>
      <w:r>
        <w:rPr>
          <w:rStyle w:val="style4099"/>
          <w:lang w:val="es-MX"/>
        </w:rPr>
        <w:t>diferentes espacios del centro de Bogotá, presente en espacios como la Fun</w:t>
      </w:r>
      <w:r>
        <w:rPr>
          <w:rStyle w:val="style4099"/>
          <w:lang w:val="es-MX"/>
        </w:rPr>
        <w:t>da</w:t>
      </w:r>
      <w:r>
        <w:rPr>
          <w:rStyle w:val="style4099"/>
          <w:lang w:val="es-MX"/>
        </w:rPr>
        <w:t>ción Gilberto</w:t>
      </w:r>
      <w:r>
        <w:rPr>
          <w:rFonts w:ascii="Arial" w:cs="Arial" w:hAnsi="Arial"/>
          <w:lang w:val="es-MX"/>
        </w:rPr>
        <w:br/>
      </w:r>
      <w:r>
        <w:rPr>
          <w:rStyle w:val="style4099"/>
          <w:lang w:val="es-MX"/>
        </w:rPr>
        <w:t xml:space="preserve">Álzate Avendaño y Teatro La Candelaria, se festeja en los meses </w:t>
      </w:r>
      <w:r>
        <w:rPr>
          <w:rStyle w:val="style4099"/>
          <w:lang w:val="es-MX"/>
        </w:rPr>
        <w:t xml:space="preserve">de </w:t>
      </w:r>
      <w:r>
        <w:rPr>
          <w:rStyle w:val="style4099"/>
          <w:lang w:val="es-MX"/>
        </w:rPr>
        <w:t xml:space="preserve">enero y </w:t>
      </w:r>
      <w:r>
        <w:rPr>
          <w:rStyle w:val="style4099"/>
          <w:lang w:val="es-MX"/>
        </w:rPr>
        <w:t>f</w:t>
      </w:r>
      <w:r>
        <w:rPr>
          <w:rStyle w:val="style4099"/>
          <w:lang w:val="es-MX"/>
        </w:rPr>
        <w:t>ebrero.</w:t>
      </w:r>
    </w:p>
    <w:p>
      <w:pPr>
        <w:pStyle w:val="style0"/>
        <w:jc w:val="both"/>
        <w:rPr>
          <w:rStyle w:val="style4099"/>
          <w:lang w:val="es-MX"/>
        </w:rPr>
      </w:pPr>
      <w:r>
        <w:rPr>
          <w:rStyle w:val="style4099"/>
          <w:lang w:val="es-MX"/>
        </w:rPr>
        <w:t>Sabor Candelaria: este evento tiene como objetivo el rescate de los sabores y comidas</w:t>
      </w:r>
      <w:r>
        <w:rPr>
          <w:rFonts w:ascii="Arial" w:cs="Arial" w:hAnsi="Arial"/>
          <w:lang w:val="es-MX"/>
        </w:rPr>
        <w:br/>
      </w:r>
      <w:r>
        <w:rPr>
          <w:rStyle w:val="style4099"/>
          <w:lang w:val="es-MX"/>
        </w:rPr>
        <w:t>tradicionales de Bogotá y Colombia, tiene concursos gastronómicos, exposiciones e invitados del sector, se realiza en el mes septiembre</w:t>
      </w:r>
      <w:r>
        <w:rPr>
          <w:rStyle w:val="style4099"/>
          <w:lang w:val="es-MX"/>
        </w:rPr>
        <w:t>.</w:t>
      </w:r>
    </w:p>
    <w:p>
      <w:pPr>
        <w:pStyle w:val="style0"/>
        <w:jc w:val="both"/>
        <w:rPr>
          <w:rStyle w:val="style4099"/>
          <w:lang w:val="es-MX"/>
        </w:rPr>
      </w:pPr>
      <w:r>
        <w:rPr>
          <w:rStyle w:val="style4099"/>
          <w:lang w:val="es-MX"/>
        </w:rPr>
        <w:t xml:space="preserve">Festival </w:t>
      </w:r>
      <w:r>
        <w:rPr>
          <w:rStyle w:val="style4099"/>
          <w:lang w:val="es-MX"/>
        </w:rPr>
        <w:t>I</w:t>
      </w:r>
      <w:r>
        <w:rPr>
          <w:rStyle w:val="style4099"/>
          <w:lang w:val="es-MX"/>
        </w:rPr>
        <w:t xml:space="preserve">beroamericano de Teatro: el </w:t>
      </w:r>
      <w:r>
        <w:rPr>
          <w:rStyle w:val="style4099"/>
          <w:lang w:val="es-MX"/>
        </w:rPr>
        <w:t>f</w:t>
      </w:r>
      <w:r>
        <w:rPr>
          <w:rStyle w:val="style4099"/>
          <w:lang w:val="es-MX"/>
        </w:rPr>
        <w:t>estival más grande del arte dramático de Bogotá, con</w:t>
      </w:r>
      <w:r>
        <w:rPr>
          <w:rFonts w:ascii="Arial" w:cs="Arial" w:hAnsi="Arial"/>
          <w:lang w:val="es-MX"/>
        </w:rPr>
        <w:br/>
      </w:r>
      <w:r>
        <w:rPr>
          <w:rStyle w:val="style4099"/>
          <w:lang w:val="es-MX"/>
        </w:rPr>
        <w:t>artistas extranjeros y nacionales; ha tenido participación en escenarios de la localidad como</w:t>
      </w:r>
      <w:r>
        <w:rPr>
          <w:rFonts w:ascii="Arial" w:cs="Arial" w:hAnsi="Arial"/>
          <w:lang w:val="es-MX"/>
        </w:rPr>
        <w:br/>
      </w:r>
      <w:r>
        <w:rPr>
          <w:rStyle w:val="style4099"/>
          <w:lang w:val="es-MX"/>
        </w:rPr>
        <w:t>el Teatro Colón, también se debe tener en cuenta que al mismo tiempo los teatros celebran</w:t>
      </w:r>
      <w:r>
        <w:rPr>
          <w:rFonts w:ascii="Arial" w:cs="Arial" w:hAnsi="Arial"/>
          <w:lang w:val="es-MX"/>
        </w:rPr>
        <w:br/>
      </w:r>
      <w:r>
        <w:rPr>
          <w:rStyle w:val="style4099"/>
          <w:lang w:val="es-MX"/>
        </w:rPr>
        <w:t>el festival alternativo de teatro de Bogotá para permitir la accesibilidad al público que no</w:t>
      </w:r>
      <w:r>
        <w:rPr>
          <w:rFonts w:ascii="Arial" w:cs="Arial" w:hAnsi="Arial"/>
          <w:lang w:val="es-MX"/>
        </w:rPr>
        <w:br/>
      </w:r>
      <w:r>
        <w:rPr>
          <w:rStyle w:val="style4099"/>
          <w:lang w:val="es-MX"/>
        </w:rPr>
        <w:t>puede pagar los eventos del Festival Iberoamericano, se celebra entre los meses de marzo y abril cada dos años</w:t>
      </w:r>
      <w:r>
        <w:rPr>
          <w:rStyle w:val="style4099"/>
          <w:lang w:val="es-MX"/>
        </w:rPr>
        <w:t xml:space="preserve">. </w:t>
      </w:r>
    </w:p>
    <w:p>
      <w:pPr>
        <w:pStyle w:val="style0"/>
        <w:jc w:val="both"/>
        <w:rPr>
          <w:rStyle w:val="style4099"/>
          <w:lang w:val="es-MX"/>
        </w:rPr>
      </w:pPr>
    </w:p>
    <w:p>
      <w:pPr>
        <w:pStyle w:val="style0"/>
        <w:jc w:val="both"/>
        <w:rPr>
          <w:rStyle w:val="style4099"/>
          <w:lang w:val="es-MX"/>
        </w:rPr>
      </w:pPr>
      <w:r>
        <w:rPr>
          <w:noProof/>
          <w:lang w:eastAsia="es-CO"/>
        </w:rPr>
        <w:drawing>
          <wp:inline distL="0" distT="0" distB="0" distR="0">
            <wp:extent cx="5612130" cy="3680460"/>
            <wp:effectExtent l="0" t="0" r="7620" b="0"/>
            <wp:docPr id="1046" name="Imagen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8" name="Imagen 2"/>
                    <pic:cNvPicPr/>
                  </pic:nvPicPr>
                  <pic:blipFill>
                    <a:blip r:embed="rId25" cstate="print"/>
                    <a:srcRect l="0" t="0" r="0" b="0"/>
                    <a:stretch/>
                  </pic:blipFill>
                  <pic:spPr>
                    <a:xfrm rot="0">
                      <a:off x="0" y="0"/>
                      <a:ext cx="5612130" cy="3680460"/>
                    </a:xfrm>
                    <a:prstGeom prst="rect"/>
                  </pic:spPr>
                </pic:pic>
              </a:graphicData>
            </a:graphic>
          </wp:inline>
        </w:drawing>
      </w:r>
    </w:p>
    <w:p>
      <w:pPr>
        <w:pStyle w:val="style0"/>
        <w:jc w:val="both"/>
        <w:rPr>
          <w:rFonts w:ascii="Arial" w:cs="Arial" w:hAnsi="Arial"/>
        </w:rPr>
      </w:pPr>
      <w:r>
        <w:rPr>
          <w:rFonts w:ascii="Arial" w:cs="Arial" w:hAnsi="Arial"/>
        </w:rPr>
        <w:t xml:space="preserve">Teniendo en cuenta las actividades desarrolladas por el Sector, la gran mayoría de la información producida está relacionada con la producción de bienes y servicios culturales, infraestructura, dotaciones y espacios, población beneficiaria de programas culturales y formación artística. Por su parte lo relacionado con recreación y </w:t>
      </w:r>
      <w:r>
        <w:rPr>
          <w:rFonts w:ascii="Arial" w:cs="Arial" w:hAnsi="Arial"/>
        </w:rPr>
        <w:t>d</w:t>
      </w:r>
      <w:r>
        <w:rPr>
          <w:rFonts w:ascii="Arial" w:cs="Arial" w:hAnsi="Arial"/>
        </w:rPr>
        <w:t>eporte que incluye lo referente con la infraestructura, recurso humano y eventos, aprovechamiento del tiempo libre y la actividad física en el ámbito deportivo y recreativo, así como lo relacionado con el mejoramiento de los escenarios, es reportado en su gran mayoría por el Instituto Distrital de Recreación y Deporte.</w:t>
      </w:r>
    </w:p>
    <w:p>
      <w:pPr>
        <w:pStyle w:val="style0"/>
        <w:jc w:val="both"/>
        <w:rPr>
          <w:rFonts w:ascii="Arial" w:cs="Arial" w:hAnsi="Arial"/>
          <w:b/>
          <w:lang w:val="es-MX"/>
        </w:rPr>
      </w:pPr>
      <w:r>
        <w:rPr>
          <w:rFonts w:ascii="Arial" w:cs="Arial" w:hAnsi="Arial"/>
          <w:b/>
          <w:lang w:val="es-MX"/>
        </w:rPr>
        <w:t xml:space="preserve">Formación </w:t>
      </w:r>
    </w:p>
    <w:p>
      <w:pPr>
        <w:pStyle w:val="style0"/>
        <w:jc w:val="both"/>
        <w:rPr>
          <w:rFonts w:ascii="Arial" w:cs="Arial" w:hAnsi="Arial"/>
          <w:lang w:val="es-MX"/>
        </w:rPr>
      </w:pPr>
      <w:r>
        <w:rPr>
          <w:rFonts w:ascii="Arial" w:cs="Arial" w:hAnsi="Arial"/>
          <w:lang w:val="es-MX"/>
        </w:rPr>
        <w:t>La Alcaldía Local de La Candelaria en el periodo comprendido entre</w:t>
      </w:r>
      <w:r>
        <w:rPr>
          <w:rFonts w:ascii="Arial" w:cs="Arial" w:hAnsi="Arial"/>
          <w:lang w:val="es-MX"/>
        </w:rPr>
        <w:t xml:space="preserve"> los años 2016 – 2019 desarrolló</w:t>
      </w:r>
      <w:r>
        <w:rPr>
          <w:rFonts w:ascii="Arial" w:cs="Arial" w:hAnsi="Arial"/>
          <w:lang w:val="es-MX"/>
        </w:rPr>
        <w:t xml:space="preserve"> por gestión, en las instalaciones de la Casa Comunitaria de La Concordia, el proyecto Coro de Adulto Mayor de La Candelaria, espacio pedagógico en el cual los adultos mayores residentes  en la localidad, se beneficiaban no solo de la formación académica en técnica vocal, sino que también, disfrutaban de un lugar de sano esparcimiento, comparti</w:t>
      </w:r>
      <w:r>
        <w:rPr>
          <w:rFonts w:ascii="Arial" w:cs="Arial" w:hAnsi="Arial"/>
          <w:lang w:val="es-MX"/>
        </w:rPr>
        <w:t>endo</w:t>
      </w:r>
      <w:r>
        <w:rPr>
          <w:rFonts w:ascii="Arial" w:cs="Arial" w:hAnsi="Arial"/>
          <w:lang w:val="es-MX"/>
        </w:rPr>
        <w:t xml:space="preserve"> saberes y experiencias con sus pares, actividad que se vio apadrinada por la Administración Local con el préstamo de espacios para llevar a cabo la practica académica y a su vez se apoyó con el suministro de refrigerios para cada uno de los asistentes al espacio de formación musical.</w:t>
      </w:r>
    </w:p>
    <w:p>
      <w:pPr>
        <w:pStyle w:val="style0"/>
        <w:jc w:val="both"/>
        <w:rPr>
          <w:rFonts w:ascii="Arial" w:cs="Arial" w:hAnsi="Arial"/>
          <w:lang w:val="es-MX"/>
        </w:rPr>
      </w:pPr>
      <w:r>
        <w:rPr>
          <w:rFonts w:ascii="Arial" w:cs="Arial" w:hAnsi="Arial"/>
          <w:lang w:val="es-MX"/>
        </w:rPr>
        <w:t>De igual manera El Fondo de Desarrollo Local de La Candelaria suscribió con la Orquesta Filarmónica de Bogotá, convenios inter administrativos que permitieron desarrollar el Centro Filarmónico de La Candelaria, el cual anualmente beneficia a más de doscientos niños, niñas y adolescentes que residen y/o estudian en la localidad, lo cual no solo brinda una formación artística de excelente calidad, contribuye</w:t>
      </w:r>
      <w:r>
        <w:rPr>
          <w:rFonts w:ascii="Arial" w:cs="Arial" w:hAnsi="Arial"/>
          <w:lang w:val="es-MX"/>
        </w:rPr>
        <w:t>ndo</w:t>
      </w:r>
      <w:r>
        <w:rPr>
          <w:rFonts w:ascii="Arial" w:cs="Arial" w:hAnsi="Arial"/>
          <w:lang w:val="es-MX"/>
        </w:rPr>
        <w:t xml:space="preserve"> con el buen uso del tiempo libre y genera un aumento en la calidad de vida de cada uno de los beneficiarios de</w:t>
      </w:r>
      <w:r>
        <w:rPr>
          <w:rFonts w:ascii="Arial" w:cs="Arial" w:hAnsi="Arial"/>
          <w:lang w:val="es-MX"/>
        </w:rPr>
        <w:t xml:space="preserve"> este</w:t>
      </w:r>
      <w:r>
        <w:rPr>
          <w:rFonts w:ascii="Arial" w:cs="Arial" w:hAnsi="Arial"/>
          <w:lang w:val="es-MX"/>
        </w:rPr>
        <w:t xml:space="preserve"> conveni</w:t>
      </w:r>
      <w:r>
        <w:rPr>
          <w:rFonts w:ascii="Arial" w:cs="Arial" w:hAnsi="Arial"/>
          <w:lang w:val="es-MX"/>
        </w:rPr>
        <w:t>o.</w:t>
      </w:r>
    </w:p>
    <w:p>
      <w:pPr>
        <w:pStyle w:val="style0"/>
        <w:jc w:val="both"/>
        <w:rPr>
          <w:rFonts w:ascii="Arial" w:cs="Arial" w:hAnsi="Arial"/>
          <w:noProof/>
        </w:rPr>
      </w:pPr>
      <w:r>
        <w:rPr>
          <w:rFonts w:ascii="Arial" w:cs="Arial" w:hAnsi="Arial"/>
          <w:noProof/>
        </w:rPr>
        <w:t>En el transucurso del año 2018, el programa de Centros Filarmo</w:t>
      </w:r>
      <w:r>
        <w:rPr>
          <w:rFonts w:ascii="Arial" w:cs="Arial" w:hAnsi="Arial"/>
          <w:noProof/>
        </w:rPr>
        <w:t>n</w:t>
      </w:r>
      <w:r>
        <w:rPr>
          <w:rFonts w:ascii="Arial" w:cs="Arial" w:hAnsi="Arial"/>
          <w:noProof/>
        </w:rPr>
        <w:t xml:space="preserve">icos de la </w:t>
      </w:r>
      <w:r>
        <w:rPr>
          <w:rFonts w:ascii="Arial" w:cs="Arial" w:hAnsi="Arial"/>
          <w:noProof/>
        </w:rPr>
        <w:t xml:space="preserve">OFB </w:t>
      </w:r>
      <w:r>
        <w:rPr>
          <w:rFonts w:ascii="Arial" w:cs="Arial" w:hAnsi="Arial"/>
          <w:noProof/>
        </w:rPr>
        <w:t>mantuvo activamete el proceso de formación musical para niños, niñas y adolecentes entre los 7 y 17 años , de la ciudad de Bogotá, sin requerirse for</w:t>
      </w:r>
      <w:r>
        <w:rPr>
          <w:rFonts w:ascii="Arial" w:cs="Arial" w:hAnsi="Arial"/>
          <w:noProof/>
        </w:rPr>
        <w:t>m</w:t>
      </w:r>
      <w:r>
        <w:rPr>
          <w:rFonts w:ascii="Arial" w:cs="Arial" w:hAnsi="Arial"/>
          <w:noProof/>
        </w:rPr>
        <w:t>ación previa o haber alcanzado algun nivel musical espeficio para su participacion, promoviendo h</w:t>
      </w:r>
      <w:r>
        <w:rPr>
          <w:rFonts w:ascii="Arial" w:cs="Arial" w:hAnsi="Arial"/>
          <w:noProof/>
        </w:rPr>
        <w:t>á</w:t>
      </w:r>
      <w:r>
        <w:rPr>
          <w:rFonts w:ascii="Arial" w:cs="Arial" w:hAnsi="Arial"/>
          <w:noProof/>
        </w:rPr>
        <w:t>bitos de disciplina, responsabilidad</w:t>
      </w:r>
      <w:r>
        <w:rPr>
          <w:rFonts w:ascii="Arial" w:cs="Arial" w:hAnsi="Arial"/>
          <w:noProof/>
        </w:rPr>
        <w:t>,</w:t>
      </w:r>
      <w:r>
        <w:rPr>
          <w:rFonts w:ascii="Arial" w:cs="Arial" w:hAnsi="Arial"/>
          <w:noProof/>
        </w:rPr>
        <w:t xml:space="preserve"> trabajo en equipo, en un </w:t>
      </w:r>
      <w:r>
        <w:rPr>
          <w:rFonts w:ascii="Arial" w:cs="Arial" w:hAnsi="Arial"/>
          <w:noProof/>
        </w:rPr>
        <w:t xml:space="preserve">ambiente de </w:t>
      </w:r>
      <w:r>
        <w:rPr>
          <w:rFonts w:ascii="Arial" w:cs="Arial" w:hAnsi="Arial"/>
          <w:noProof/>
        </w:rPr>
        <w:t xml:space="preserve">respeto </w:t>
      </w:r>
      <w:r>
        <w:rPr>
          <w:rFonts w:ascii="Arial" w:cs="Arial" w:hAnsi="Arial"/>
          <w:noProof/>
        </w:rPr>
        <w:t>e</w:t>
      </w:r>
      <w:r>
        <w:rPr>
          <w:rFonts w:ascii="Arial" w:cs="Arial" w:hAnsi="Arial"/>
          <w:noProof/>
        </w:rPr>
        <w:t xml:space="preserve"> inclusi</w:t>
      </w:r>
      <w:r>
        <w:rPr>
          <w:rFonts w:ascii="Arial" w:cs="Arial" w:hAnsi="Arial"/>
          <w:noProof/>
        </w:rPr>
        <w:t>ó</w:t>
      </w:r>
      <w:r>
        <w:rPr>
          <w:rFonts w:ascii="Arial" w:cs="Arial" w:hAnsi="Arial"/>
          <w:noProof/>
        </w:rPr>
        <w:t xml:space="preserve">n. </w:t>
      </w:r>
    </w:p>
    <w:p>
      <w:pPr>
        <w:pStyle w:val="style0"/>
        <w:jc w:val="both"/>
        <w:rPr>
          <w:rFonts w:ascii="Arial" w:cs="Arial" w:hAnsi="Arial"/>
          <w:noProof/>
        </w:rPr>
      </w:pPr>
      <w:r>
        <w:rPr>
          <w:rFonts w:ascii="Arial" w:cs="Arial" w:hAnsi="Arial"/>
          <w:noProof/>
        </w:rPr>
        <w:t xml:space="preserve">En la vigencia 2018 se </w:t>
      </w:r>
      <w:r>
        <w:rPr>
          <w:rFonts w:ascii="Arial" w:cs="Arial" w:hAnsi="Arial"/>
          <w:noProof/>
        </w:rPr>
        <w:t>a</w:t>
      </w:r>
      <w:r>
        <w:rPr>
          <w:rFonts w:ascii="Arial" w:cs="Arial" w:hAnsi="Arial"/>
          <w:noProof/>
        </w:rPr>
        <w:t>tendieron 4.005 beneficiarios en los centros filarmónicos que operan en las localidades de Bogotá equivalentes a una ejecucion del 133,5% teniendo en cuenta la meta propuesta para el 2017, año en el cual se atendieron 2.820 beneficiarios, se presento un incremento del 42%.</w:t>
      </w:r>
    </w:p>
    <w:p>
      <w:pPr>
        <w:pStyle w:val="style0"/>
        <w:jc w:val="both"/>
        <w:rPr>
          <w:rFonts w:ascii="Arial" w:cs="Arial" w:hAnsi="Arial"/>
          <w:lang w:val="es-MX"/>
        </w:rPr>
      </w:pPr>
      <w:r>
        <w:rPr>
          <w:noProof/>
          <w:lang w:eastAsia="es-CO"/>
        </w:rPr>
        <w:drawing>
          <wp:inline distL="0" distT="0" distB="0" distR="0">
            <wp:extent cx="5608955" cy="3200122"/>
            <wp:effectExtent l="0" t="0" r="0" b="635"/>
            <wp:docPr id="1047" name="Imagen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Imagen 5"/>
                    <pic:cNvPicPr/>
                  </pic:nvPicPr>
                  <pic:blipFill>
                    <a:blip r:embed="rId26" cstate="print"/>
                    <a:srcRect l="18160" t="11401" r="6653" b="12300"/>
                    <a:stretch/>
                  </pic:blipFill>
                  <pic:spPr>
                    <a:xfrm rot="0">
                      <a:off x="0" y="0"/>
                      <a:ext cx="5608955" cy="3200122"/>
                    </a:xfrm>
                    <a:prstGeom prst="rect"/>
                    <a:ln>
                      <a:noFill/>
                    </a:ln>
                  </pic:spPr>
                </pic:pic>
              </a:graphicData>
            </a:graphic>
          </wp:inline>
        </w:drawing>
      </w:r>
    </w:p>
    <w:p>
      <w:pPr>
        <w:pStyle w:val="style0"/>
        <w:jc w:val="both"/>
        <w:rPr>
          <w:rFonts w:ascii="Arial" w:cs="Arial" w:hAnsi="Arial"/>
          <w:lang w:val="es-MX"/>
        </w:rPr>
      </w:pPr>
      <w:r>
        <w:rPr>
          <w:rFonts w:ascii="Arial" w:cs="Arial" w:hAnsi="Arial"/>
          <w:lang w:val="es-MX"/>
        </w:rPr>
        <w:t>https://issuu.com/orquestafilarmonicadebogota/docs/informe_de_gestion_2018-final</w:t>
      </w:r>
    </w:p>
    <w:p>
      <w:pPr>
        <w:pStyle w:val="style0"/>
        <w:jc w:val="both"/>
        <w:rPr>
          <w:rFonts w:ascii="Arial" w:cs="Arial" w:hAnsi="Arial"/>
          <w:b/>
          <w:lang w:val="es-MX"/>
        </w:rPr>
      </w:pPr>
      <w:r>
        <w:rPr>
          <w:rFonts w:ascii="Arial" w:cs="Arial" w:hAnsi="Arial"/>
          <w:b/>
          <w:lang w:val="es-MX"/>
        </w:rPr>
        <w:t xml:space="preserve">Circulación </w:t>
      </w:r>
    </w:p>
    <w:p>
      <w:pPr>
        <w:pStyle w:val="style0"/>
        <w:jc w:val="both"/>
        <w:rPr>
          <w:rFonts w:ascii="Arial" w:cs="Arial" w:hAnsi="Arial"/>
          <w:lang w:val="es-MX"/>
        </w:rPr>
      </w:pPr>
      <w:r>
        <w:rPr>
          <w:rFonts w:ascii="Arial" w:cs="Arial" w:hAnsi="Arial"/>
          <w:lang w:val="es-MX"/>
        </w:rPr>
        <w:t xml:space="preserve">La Localidad de La Candelaria es un territorio artístico, cultural y turístico por excelencia, el cual tiene al interior del mismo y en sus inmediaciones </w:t>
      </w:r>
      <w:r>
        <w:rPr>
          <w:rFonts w:ascii="Arial" w:cs="Arial" w:hAnsi="Arial"/>
          <w:lang w:val="es-MX"/>
        </w:rPr>
        <w:t xml:space="preserve">las </w:t>
      </w:r>
      <w:r>
        <w:rPr>
          <w:rFonts w:ascii="Arial" w:cs="Arial" w:hAnsi="Arial"/>
          <w:lang w:val="es-MX"/>
        </w:rPr>
        <w:t>sedes de la Fundación Gilberto Álzate Avendaño, el Instituto Distrital para las Artes y la cabeza del sector, la Secretaria de Cultura Recreación y Deporte, entidades que habitualmente despliegan una serie de ofertas, estímulos, convocatorias y becas para la ciudadanía en general y en algunas ocasiones se direccionan dichas ofertas para la población que trabaja, estudia y reside en el centro de la ciudad.</w:t>
      </w:r>
    </w:p>
    <w:p>
      <w:pPr>
        <w:pStyle w:val="style0"/>
        <w:jc w:val="both"/>
        <w:rPr>
          <w:rFonts w:ascii="Arial" w:cs="Arial" w:hAnsi="Arial"/>
          <w:lang w:val="es-MX"/>
        </w:rPr>
      </w:pPr>
      <w:r>
        <w:rPr>
          <w:rFonts w:ascii="Arial" w:cs="Arial" w:hAnsi="Arial"/>
          <w:lang w:val="es-MX"/>
        </w:rPr>
        <w:t xml:space="preserve">En concordancia con lo anterior se enuncian algunas de las convocatorias que habitualmente ofertan estas entidades: </w:t>
      </w:r>
      <w:r>
        <w:rPr>
          <w:rFonts w:ascii="Arial" w:cs="Arial" w:hAnsi="Arial"/>
          <w:shd w:val="clear" w:color="auto" w:fill="ffffff"/>
          <w:lang w:val="es-MX"/>
        </w:rPr>
        <w:t xml:space="preserve">la Fundación Gilberto Álzate Avendaño – FUGA oferta una propuesta artística llamada Atlas del centro de la ciudad, propuesta enlazada con el Programa Distrital de Estímulos el cual tenía como finalidad generar una </w:t>
      </w:r>
      <w:r>
        <w:rPr>
          <w:rStyle w:val="style87"/>
          <w:rFonts w:ascii="Arial" w:cs="Arial" w:hAnsi="Arial"/>
          <w:b w:val="false"/>
          <w:bCs w:val="false"/>
          <w:bdr w:val="none" w:sz="0" w:space="0" w:color="auto" w:frame="true"/>
          <w:shd w:val="clear" w:color="auto" w:fill="ffffff"/>
          <w:lang w:val="es-MX"/>
        </w:rPr>
        <w:t>Beca para proyectos editoriales independientes - 45 Salón Nacional de Artistas</w:t>
      </w:r>
      <w:r>
        <w:rPr>
          <w:rFonts w:ascii="Arial" w:cs="Arial" w:hAnsi="Arial"/>
          <w:b/>
          <w:bCs/>
          <w:szCs w:val="23"/>
          <w:shd w:val="clear" w:color="auto" w:fill="ffffff"/>
          <w:lang w:val="es-MX"/>
        </w:rPr>
        <w:t>.</w:t>
      </w:r>
      <w:r>
        <w:rPr>
          <w:rFonts w:ascii="Arial" w:cs="Arial" w:hAnsi="Arial"/>
          <w:szCs w:val="23"/>
          <w:shd w:val="clear" w:color="auto" w:fill="ffffff"/>
          <w:lang w:val="es-MX"/>
        </w:rPr>
        <w:t xml:space="preserve"> Además de lo anterior la FUGA Constantemente pone a disposición de la ciudadanía bec</w:t>
      </w:r>
      <w:r>
        <w:rPr>
          <w:rFonts w:ascii="Arial" w:cs="Arial" w:hAnsi="Arial"/>
          <w:color w:val="000000"/>
          <w:szCs w:val="23"/>
          <w:shd w:val="clear" w:color="auto" w:fill="ffffff"/>
          <w:lang w:val="es-MX"/>
        </w:rPr>
        <w:t xml:space="preserve">as como: </w:t>
      </w:r>
      <w:r>
        <w:rPr/>
        <w:fldChar w:fldCharType="begin"/>
      </w:r>
      <w:r>
        <w:instrText xml:space="preserve"> HYPERLINK "https://www.fuga.gov.co/convocatorias/beca-encadenamientos-productivos-de-la-economia-cultural-y-creativa" </w:instrText>
      </w:r>
      <w:r>
        <w:rPr/>
        <w:fldChar w:fldCharType="separate"/>
      </w:r>
      <w:r>
        <w:rPr>
          <w:rStyle w:val="style85"/>
          <w:rFonts w:ascii="Arial" w:cs="Arial" w:hAnsi="Arial"/>
          <w:bCs/>
          <w:color w:val="000000"/>
          <w:u w:val="none"/>
          <w:bdr w:val="none" w:sz="0" w:space="0" w:color="auto" w:frame="true"/>
          <w:shd w:val="clear" w:color="auto" w:fill="ffffff"/>
          <w:lang w:val="es-MX"/>
        </w:rPr>
        <w:t>Encadenamientos Productivos de la Economía Cultural y Creativa</w:t>
      </w:r>
      <w:r>
        <w:rPr/>
        <w:fldChar w:fldCharType="end"/>
      </w:r>
      <w:r>
        <w:rPr>
          <w:rFonts w:ascii="Arial" w:cs="Arial" w:hAnsi="Arial"/>
          <w:color w:val="000000"/>
          <w:lang w:val="es-MX"/>
        </w:rPr>
        <w:t xml:space="preserve"> y</w:t>
      </w:r>
      <w:r>
        <w:rPr>
          <w:rFonts w:ascii="Arial" w:cs="Arial" w:hAnsi="Arial"/>
          <w:color w:val="000000"/>
          <w:lang w:val="es-MX"/>
        </w:rPr>
        <w:t xml:space="preserve"> </w:t>
      </w:r>
      <w:r>
        <w:rPr/>
        <w:fldChar w:fldCharType="begin"/>
      </w:r>
      <w:r>
        <w:instrText xml:space="preserve"> HYPERLINK "https://www.fuga.gov.co/convocatorias/beca-mercados-culturales-y-de-la-economia-creativa" </w:instrText>
      </w:r>
      <w:r>
        <w:rPr/>
        <w:fldChar w:fldCharType="separate"/>
      </w:r>
      <w:r>
        <w:rPr>
          <w:rStyle w:val="style85"/>
          <w:rFonts w:ascii="Arial" w:cs="Arial" w:hAnsi="Arial"/>
          <w:bCs/>
          <w:color w:val="000000"/>
          <w:u w:val="none"/>
          <w:bdr w:val="none" w:sz="0" w:space="0" w:color="auto" w:frame="true"/>
          <w:shd w:val="clear" w:color="auto" w:fill="ffffff"/>
          <w:lang w:val="es-MX"/>
        </w:rPr>
        <w:t xml:space="preserve"> Mercados Culturales y de la Economía Creativa</w:t>
      </w:r>
      <w:r>
        <w:rPr/>
        <w:fldChar w:fldCharType="end"/>
      </w:r>
      <w:r>
        <w:rPr>
          <w:rFonts w:ascii="Arial" w:cs="Arial" w:hAnsi="Arial"/>
          <w:color w:val="000000"/>
          <w:lang w:val="es-MX"/>
        </w:rPr>
        <w:t>.</w:t>
      </w:r>
    </w:p>
    <w:p>
      <w:pPr>
        <w:pStyle w:val="style0"/>
        <w:jc w:val="both"/>
        <w:rPr>
          <w:rFonts w:ascii="Arial" w:cs="Arial" w:hAnsi="Arial"/>
        </w:rPr>
      </w:pPr>
      <w:r>
        <w:rPr>
          <w:rFonts w:ascii="Arial" w:cs="Arial" w:hAnsi="Arial"/>
        </w:rPr>
        <w:t>La FUGA tiene como misión “ser la plataforma pública, líder de la transformación cultural y la revitalización del Centro de Bogotá”, y su visión es “lograr que en el año 2027 la Fundación Gilberto Álzate</w:t>
      </w:r>
      <w:r>
        <w:rPr>
          <w:rFonts w:ascii="Arial" w:cs="Arial" w:hAnsi="Arial"/>
        </w:rPr>
        <w:t xml:space="preserve"> </w:t>
      </w:r>
      <w:r>
        <w:rPr>
          <w:rFonts w:ascii="Arial" w:cs="Arial" w:hAnsi="Arial"/>
        </w:rPr>
        <w:t>Avendaño haya revitalizado y recuperado el centro de Bogotá, a través del arte y la cultura como recurso disruptivo”.</w:t>
      </w:r>
      <w:r>
        <w:rPr>
          <w:rFonts w:ascii="Arial" w:cs="Arial" w:hAnsi="Arial"/>
        </w:rPr>
        <w:t xml:space="preserve"> </w:t>
      </w:r>
    </w:p>
    <w:p>
      <w:pPr>
        <w:pStyle w:val="style94"/>
        <w:shd w:val="clear" w:color="auto" w:fill="ffffff"/>
        <w:spacing w:before="0" w:beforeAutospacing="false" w:after="0" w:afterAutospacing="false"/>
        <w:jc w:val="both"/>
        <w:textAlignment w:val="baseline"/>
        <w:rPr>
          <w:rFonts w:ascii="Arial" w:cs="Arial" w:hAnsi="Arial"/>
          <w:sz w:val="22"/>
          <w:szCs w:val="22"/>
          <w:lang w:val="es-MX"/>
        </w:rPr>
      </w:pPr>
      <w:r>
        <w:rPr>
          <w:rFonts w:ascii="Arial" w:cs="Arial" w:hAnsi="Arial"/>
          <w:sz w:val="22"/>
          <w:szCs w:val="22"/>
          <w:lang w:val="es-MX"/>
        </w:rPr>
        <w:t>Por su parte El </w:t>
      </w:r>
      <w:r>
        <w:rPr>
          <w:rStyle w:val="style87"/>
          <w:rFonts w:ascii="Arial" w:cs="Arial" w:eastAsia="宋体" w:hAnsi="Arial"/>
          <w:sz w:val="22"/>
          <w:szCs w:val="22"/>
          <w:bdr w:val="none" w:sz="0" w:space="0" w:color="auto" w:frame="true"/>
          <w:lang w:val="es-MX"/>
        </w:rPr>
        <w:t>Instituto Distrital de las Artes - Idartes</w:t>
      </w:r>
      <w:r>
        <w:rPr>
          <w:rFonts w:ascii="Arial" w:cs="Arial" w:hAnsi="Arial"/>
          <w:sz w:val="22"/>
          <w:szCs w:val="22"/>
          <w:lang w:val="es-MX"/>
        </w:rPr>
        <w:t> entregará más de 4 mil millones de pesos entre </w:t>
      </w:r>
      <w:r>
        <w:rPr>
          <w:rStyle w:val="style87"/>
          <w:rFonts w:ascii="Arial" w:cs="Arial" w:eastAsia="宋体" w:hAnsi="Arial"/>
          <w:sz w:val="22"/>
          <w:szCs w:val="22"/>
          <w:bdr w:val="none" w:sz="0" w:space="0" w:color="auto" w:frame="true"/>
          <w:lang w:val="es-MX"/>
        </w:rPr>
        <w:t>becas, premios, pasantías y residencias</w:t>
      </w:r>
      <w:r>
        <w:rPr>
          <w:rFonts w:ascii="Arial" w:cs="Arial" w:hAnsi="Arial"/>
          <w:b/>
          <w:sz w:val="22"/>
          <w:szCs w:val="22"/>
          <w:lang w:val="es-MX"/>
        </w:rPr>
        <w:t>,</w:t>
      </w:r>
      <w:r>
        <w:rPr>
          <w:rFonts w:ascii="Arial" w:cs="Arial" w:hAnsi="Arial"/>
          <w:sz w:val="22"/>
          <w:szCs w:val="22"/>
          <w:lang w:val="es-MX"/>
        </w:rPr>
        <w:t xml:space="preserve"> contando con más de 109 estímulos en su Portafolio para la vigencia 2020, realizando una serie de</w:t>
      </w:r>
      <w:r>
        <w:rPr>
          <w:rStyle w:val="style87"/>
          <w:rFonts w:ascii="Arial" w:cs="Arial" w:eastAsia="宋体" w:hAnsi="Arial"/>
          <w:sz w:val="22"/>
          <w:szCs w:val="22"/>
          <w:bdr w:val="none" w:sz="0" w:space="0" w:color="auto" w:frame="true"/>
          <w:lang w:val="es-MX"/>
        </w:rPr>
        <w:t> Jornadas Informativas</w:t>
      </w:r>
      <w:r>
        <w:rPr>
          <w:rFonts w:ascii="Arial" w:cs="Arial" w:hAnsi="Arial"/>
          <w:b/>
          <w:sz w:val="22"/>
          <w:szCs w:val="22"/>
          <w:lang w:val="es-MX"/>
        </w:rPr>
        <w:t>,</w:t>
      </w:r>
      <w:r>
        <w:rPr>
          <w:rFonts w:ascii="Arial" w:cs="Arial" w:hAnsi="Arial"/>
          <w:sz w:val="22"/>
          <w:szCs w:val="22"/>
          <w:lang w:val="es-MX"/>
        </w:rPr>
        <w:t xml:space="preserve"> en las que se socializara la información sobre las convocatorias que integran </w:t>
      </w:r>
      <w:r>
        <w:rPr>
          <w:rFonts w:ascii="Arial" w:cs="Arial" w:hAnsi="Arial"/>
          <w:color w:val="000000"/>
          <w:sz w:val="22"/>
          <w:szCs w:val="22"/>
          <w:lang w:val="es-MX"/>
        </w:rPr>
        <w:t>el </w:t>
      </w:r>
      <w:r>
        <w:rPr/>
        <w:fldChar w:fldCharType="begin"/>
      </w:r>
      <w:r>
        <w:instrText xml:space="preserve"> HYPERLINK "http://www.culturarecreacionydeporte.gov.co/es/convocatorias" \t "_blank" \o "Programa Distrital de Estímulos" </w:instrText>
      </w:r>
      <w:r>
        <w:rPr/>
        <w:fldChar w:fldCharType="separate"/>
      </w:r>
      <w:r>
        <w:rPr>
          <w:rStyle w:val="style85"/>
          <w:rFonts w:ascii="Arial" w:cs="Arial" w:hAnsi="Arial"/>
          <w:bCs/>
          <w:color w:val="000000"/>
          <w:sz w:val="22"/>
          <w:szCs w:val="22"/>
          <w:u w:val="none"/>
          <w:bdr w:val="none" w:sz="0" w:space="0" w:color="auto" w:frame="true"/>
          <w:lang w:val="es-MX"/>
        </w:rPr>
        <w:t>Programa Distrital de Estímulos</w:t>
      </w:r>
      <w:r>
        <w:rPr/>
        <w:fldChar w:fldCharType="end"/>
      </w:r>
      <w:r>
        <w:rPr>
          <w:rFonts w:ascii="Arial" w:cs="Arial" w:hAnsi="Arial"/>
          <w:sz w:val="22"/>
          <w:szCs w:val="22"/>
          <w:lang w:val="es-MX"/>
        </w:rPr>
        <w:t>, con el fin de dar a conocer aspectos importantes de las mismas y responder las inquietudes específicas de los interesados.</w:t>
      </w:r>
    </w:p>
    <w:p>
      <w:pPr>
        <w:pStyle w:val="style94"/>
        <w:shd w:val="clear" w:color="auto" w:fill="ffffff"/>
        <w:spacing w:before="0" w:beforeAutospacing="false" w:after="0" w:afterAutospacing="false"/>
        <w:jc w:val="both"/>
        <w:textAlignment w:val="baseline"/>
        <w:rPr>
          <w:rFonts w:ascii="Arial" w:cs="Arial" w:hAnsi="Arial"/>
          <w:sz w:val="22"/>
          <w:szCs w:val="22"/>
          <w:lang w:val="es-MX"/>
        </w:rPr>
      </w:pPr>
    </w:p>
    <w:p>
      <w:pPr>
        <w:pStyle w:val="style0"/>
        <w:jc w:val="both"/>
        <w:rPr>
          <w:rFonts w:ascii="Arial" w:cs="Arial" w:hAnsi="Arial"/>
          <w:lang w:val="es-MX"/>
        </w:rPr>
      </w:pPr>
      <w:r>
        <w:rPr>
          <w:rFonts w:ascii="Arial" w:cs="Arial" w:hAnsi="Arial"/>
          <w:lang w:val="es-MX"/>
        </w:rPr>
        <w:t>Adicionalmente</w:t>
      </w:r>
      <w:r>
        <w:rPr>
          <w:rFonts w:ascii="Arial" w:cs="Arial" w:hAnsi="Arial"/>
          <w:lang w:val="es-MX"/>
        </w:rPr>
        <w:t xml:space="preserve">, la Secretaria de Cultura Recreación y Deporte pone a disposición de la ciudadanía, Programas de fomento, estímulos y apoyos concertados los que serán la base para en un ejercicio participativo, que se realizara en compañía de los candelarios y candelarias se adoptarán y construirán adaptándose a las necesidades en cuanto a la circulación de artistas locales. </w:t>
      </w:r>
    </w:p>
    <w:p>
      <w:pPr>
        <w:pStyle w:val="style0"/>
        <w:jc w:val="both"/>
        <w:rPr>
          <w:rFonts w:ascii="Arial" w:cs="Arial" w:hAnsi="Arial"/>
          <w:b/>
          <w:lang w:val="es-MX"/>
        </w:rPr>
      </w:pPr>
      <w:r>
        <w:rPr>
          <w:rFonts w:ascii="Arial" w:cs="Arial" w:hAnsi="Arial"/>
          <w:b/>
          <w:lang w:val="es-MX"/>
        </w:rPr>
        <w:t xml:space="preserve">Uso espacio publico </w:t>
      </w:r>
    </w:p>
    <w:p>
      <w:pPr>
        <w:pStyle w:val="style0"/>
        <w:jc w:val="both"/>
        <w:rPr>
          <w:rFonts w:ascii="Arial" w:cs="Arial" w:hAnsi="Arial"/>
          <w:lang w:val="es-MX"/>
        </w:rPr>
      </w:pPr>
      <w:r>
        <w:rPr>
          <w:rFonts w:ascii="Arial" w:cs="Arial" w:hAnsi="Arial"/>
          <w:lang w:val="es-MX"/>
        </w:rPr>
        <w:t>La localidad de La Candelaria al ser una localidad con vocación artística, con amplia potencialidad cultural y turística, además de contar con amplios corredores peatonales como</w:t>
      </w:r>
      <w:r>
        <w:rPr>
          <w:rFonts w:ascii="Arial" w:cs="Arial" w:hAnsi="Arial"/>
          <w:lang w:val="es-MX"/>
        </w:rPr>
        <w:t xml:space="preserve"> </w:t>
      </w:r>
      <w:r>
        <w:rPr>
          <w:rFonts w:ascii="Arial" w:cs="Arial" w:hAnsi="Arial"/>
          <w:lang w:val="es-MX"/>
        </w:rPr>
        <w:t>la Carrera séptima y espacios en los cuales se desarrollan actividades económicas relacionadas con el arte y la cultura como  La plaza de Bolívar, El Chorro de Quevedo, La Plaza de La Concordia y La Plazoleta del Rosario entre otros lugares de la localidad donde se desarrollan diversas actividades que involucran el intercambio de papel moneda y que tienen que ver directamente con la utilización del espacio público para llevar a cabo las mencionadas actividades.</w:t>
      </w:r>
    </w:p>
    <w:p>
      <w:pPr>
        <w:pStyle w:val="style0"/>
        <w:jc w:val="both"/>
        <w:rPr>
          <w:rFonts w:ascii="Arial" w:cs="Arial" w:hAnsi="Arial"/>
          <w:lang w:val="es-MX"/>
        </w:rPr>
      </w:pPr>
      <w:r>
        <w:rPr>
          <w:rFonts w:ascii="Arial" w:cs="Arial" w:hAnsi="Arial"/>
          <w:lang w:val="es-MX"/>
        </w:rPr>
        <w:t>Es por lo anterior, que desde la administración local se apoyó el trabajo mancomunado que el Instituto Distrital para las Artes – IDARTES realiz</w:t>
      </w:r>
      <w:r>
        <w:rPr>
          <w:rFonts w:ascii="Arial" w:cs="Arial" w:hAnsi="Arial"/>
          <w:lang w:val="es-MX"/>
        </w:rPr>
        <w:t>ó</w:t>
      </w:r>
      <w:r>
        <w:rPr>
          <w:rFonts w:ascii="Arial" w:cs="Arial" w:hAnsi="Arial"/>
          <w:lang w:val="es-MX"/>
        </w:rPr>
        <w:t xml:space="preserve"> con artistas y artesanos locales, producto de las cuales se desarrollaron una serie de resoluciones, que fueron entregadas de forma individual y que les permitía a los artistas locales, el aprovechamiento económico del espacio público, razón por la cual desde la alcaldía local teniendo en cuenta el concepto </w:t>
      </w:r>
      <w:r>
        <w:rPr>
          <w:rFonts w:ascii="Arial" w:cs="Arial" w:hAnsi="Arial"/>
          <w:color w:val="000000"/>
          <w:lang w:val="es-MX"/>
        </w:rPr>
        <w:t xml:space="preserve">N° </w:t>
      </w:r>
      <w:r>
        <w:rPr/>
        <w:fldChar w:fldCharType="begin"/>
      </w:r>
      <w:r>
        <w:instrText xml:space="preserve"> HYPERLINK "https://www.alcaldiabogota.gov.co/sisjur/normas/Norma1.jsp?i=81989" </w:instrText>
      </w:r>
      <w:r>
        <w:rPr/>
        <w:fldChar w:fldCharType="separate"/>
      </w:r>
      <w:r>
        <w:rPr>
          <w:rStyle w:val="style85"/>
          <w:rFonts w:ascii="Arial" w:cs="Arial" w:hAnsi="Arial"/>
          <w:color w:val="000000"/>
          <w:u w:val="none"/>
          <w:shd w:val="clear" w:color="auto" w:fill="ffffff"/>
          <w:lang w:val="es-MX"/>
        </w:rPr>
        <w:t>20181100147461 de 2018</w:t>
      </w:r>
      <w:r>
        <w:rPr/>
        <w:fldChar w:fldCharType="end"/>
      </w:r>
      <w:r>
        <w:rPr>
          <w:rFonts w:ascii="Arial" w:cs="Arial" w:hAnsi="Arial"/>
          <w:color w:val="333333"/>
          <w:sz w:val="18"/>
          <w:szCs w:val="18"/>
          <w:shd w:val="clear" w:color="auto" w:fill="ffffff"/>
          <w:lang w:val="es-MX"/>
        </w:rPr>
        <w:t> </w:t>
      </w:r>
      <w:r>
        <w:rPr>
          <w:rFonts w:ascii="Arial" w:cs="Arial" w:hAnsi="Arial"/>
          <w:color w:val="333333"/>
          <w:szCs w:val="18"/>
          <w:shd w:val="clear" w:color="auto" w:fill="ffffff"/>
          <w:lang w:val="es-MX"/>
        </w:rPr>
        <w:t>Expedido </w:t>
      </w:r>
      <w:r>
        <w:rPr>
          <w:rFonts w:ascii="Arial" w:cs="Arial" w:hAnsi="Arial"/>
          <w:lang w:val="es-MX"/>
        </w:rPr>
        <w:t xml:space="preserve"> por la Secretaria Distrital de Planeación, en el cual se encuentra la normatividad vigente en cuanto a la utilización y aprovechamiento económico del espacio público, dicho lo anterior la ALC está en plena disposición de apoyar a la ciudadanía, en la construcción de un plan de acción que permita beneficiar a la población local y brinde la posibilidad de generar estrategias, que dinamicen el sector y potencialicen las capacidades artísticas, culturales y turísticas con las que cuenta la localidad, desarrollando este ejercicio de forma ordenada, organizada y sostenible en el tiempo. </w:t>
      </w:r>
    </w:p>
    <w:p>
      <w:pPr>
        <w:pStyle w:val="style0"/>
        <w:jc w:val="both"/>
        <w:rPr>
          <w:rFonts w:ascii="Arial" w:cs="Arial" w:hAnsi="Arial"/>
          <w:b/>
          <w:lang w:val="es-MX"/>
        </w:rPr>
      </w:pPr>
      <w:r>
        <w:rPr>
          <w:rFonts w:ascii="Arial" w:cs="Arial" w:hAnsi="Arial"/>
          <w:b/>
          <w:lang w:val="es-MX"/>
        </w:rPr>
        <w:t xml:space="preserve">Fortalecer la formalidad </w:t>
      </w:r>
    </w:p>
    <w:p>
      <w:pPr>
        <w:pStyle w:val="style0"/>
        <w:jc w:val="both"/>
        <w:rPr>
          <w:rFonts w:ascii="Arial" w:cs="Arial" w:hAnsi="Arial"/>
          <w:b/>
          <w:lang w:val="es-MX"/>
        </w:rPr>
      </w:pPr>
      <w:r>
        <w:rPr>
          <w:rFonts w:ascii="Arial" w:cs="Arial" w:hAnsi="Arial"/>
          <w:szCs w:val="21"/>
          <w:lang w:val="es-MX"/>
        </w:rPr>
        <w:t>El Ministerio de Comercio, Industria y Turismo ha venido realizando programas y acciones de acompañamiento a empresas de los diferentes sectores para que incrementen sus niveles de formalidad y productividad</w:t>
      </w:r>
      <w:r>
        <w:rPr>
          <w:rFonts w:ascii="Arial" w:cs="Arial" w:hAnsi="Arial"/>
          <w:b/>
          <w:szCs w:val="21"/>
          <w:lang w:val="es-MX"/>
        </w:rPr>
        <w:t>. </w:t>
      </w:r>
      <w:r>
        <w:rPr>
          <w:rStyle w:val="style87"/>
          <w:rFonts w:ascii="Arial" w:cs="Arial" w:hAnsi="Arial"/>
          <w:b w:val="false"/>
          <w:szCs w:val="21"/>
          <w:lang w:val="es-MX"/>
        </w:rPr>
        <w:t>Desde el año 2012 ejercicio en el cual se ha logrado atender 180.000 empresarios, en 32 departamentos del país.</w:t>
      </w:r>
    </w:p>
    <w:p>
      <w:pPr>
        <w:pStyle w:val="style94"/>
        <w:shd w:val="clear" w:color="auto" w:fill="ffffff"/>
        <w:spacing w:before="0" w:beforeAutospacing="false" w:after="288" w:afterAutospacing="false"/>
        <w:jc w:val="both"/>
        <w:rPr>
          <w:rFonts w:ascii="Arial" w:cs="Arial" w:hAnsi="Arial"/>
          <w:b/>
          <w:bCs/>
          <w:sz w:val="22"/>
          <w:szCs w:val="21"/>
          <w:lang w:val="es-MX"/>
        </w:rPr>
      </w:pPr>
      <w:r>
        <w:rPr>
          <w:rFonts w:ascii="Arial" w:cs="Arial" w:hAnsi="Arial"/>
          <w:sz w:val="22"/>
          <w:szCs w:val="21"/>
          <w:lang w:val="es-MX"/>
        </w:rPr>
        <w:t xml:space="preserve">Es por lo anterior que desde La Alcaldía Local de La Candelaria se entiende a la </w:t>
      </w:r>
      <w:r>
        <w:rPr>
          <w:rFonts w:ascii="Arial" w:cs="Arial" w:hAnsi="Arial"/>
          <w:sz w:val="22"/>
          <w:szCs w:val="21"/>
          <w:lang w:val="es-MX"/>
        </w:rPr>
        <w:t>i</w:t>
      </w:r>
      <w:r>
        <w:rPr>
          <w:rFonts w:ascii="Arial" w:cs="Arial" w:hAnsi="Arial"/>
          <w:sz w:val="22"/>
          <w:szCs w:val="21"/>
          <w:lang w:val="es-MX"/>
        </w:rPr>
        <w:t>nformalidad empresarial como un fenómeno que tiene efectos negativos sobre el nivel de competitividad de la economía debido a las distorsiones que crea en el mercado y los efectos negativos que esto genera sobre los emprendimientos. </w:t>
      </w:r>
      <w:r>
        <w:rPr>
          <w:rStyle w:val="style87"/>
          <w:rFonts w:ascii="Arial" w:cs="Arial" w:eastAsia="宋体" w:hAnsi="Arial"/>
          <w:sz w:val="22"/>
          <w:szCs w:val="21"/>
          <w:lang w:val="es-MX"/>
        </w:rPr>
        <w:t xml:space="preserve"> </w:t>
      </w:r>
      <w:r>
        <w:rPr>
          <w:rStyle w:val="style87"/>
          <w:rFonts w:ascii="Arial" w:cs="Arial" w:eastAsia="宋体" w:hAnsi="Arial"/>
          <w:b w:val="false"/>
          <w:bCs w:val="false"/>
          <w:sz w:val="22"/>
          <w:szCs w:val="21"/>
          <w:lang w:val="es-MX"/>
        </w:rPr>
        <w:t>Por tanto, la formalización debe entenderse más que como una obligación de registro, como un medio de inclusión económica, ambiental y social de las empresas en los mercados, para que estas aumenten sus índices de productividad, accedan al sistema financiero y sean sostenibles, para lo cual se dispondrá desde la administración de recursos que permitan atender las necesidades y propuestas de los emprendimientos culturales de la localidad.</w:t>
      </w:r>
    </w:p>
    <w:p>
      <w:pPr>
        <w:pStyle w:val="style4"/>
        <w:rPr>
          <w:rFonts w:ascii="Arial" w:cs="Arial" w:hAnsi="Arial"/>
          <w:color w:val="auto"/>
          <w:lang w:val="es-MX"/>
        </w:rPr>
      </w:pPr>
      <w:r>
        <w:rPr>
          <w:rFonts w:ascii="Arial" w:cs="Arial" w:hAnsi="Arial"/>
          <w:color w:val="auto"/>
          <w:lang w:val="es-MX"/>
        </w:rPr>
        <w:t>Mujeres:</w:t>
      </w:r>
    </w:p>
    <w:p>
      <w:pPr>
        <w:pStyle w:val="style0"/>
        <w:rPr>
          <w:rFonts w:ascii="Arial" w:cs="Arial" w:hAnsi="Arial"/>
          <w:lang w:val="es-MX"/>
        </w:rPr>
      </w:pPr>
    </w:p>
    <w:p>
      <w:pPr>
        <w:pStyle w:val="style0"/>
        <w:tabs>
          <w:tab w:val="left" w:leader="none" w:pos="2520"/>
        </w:tabs>
        <w:jc w:val="both"/>
        <w:rPr>
          <w:rStyle w:val="style4099"/>
          <w:color w:val="auto"/>
          <w:lang w:val="es-MX"/>
        </w:rPr>
      </w:pPr>
      <w:r>
        <w:rPr>
          <w:rStyle w:val="style4099"/>
          <w:color w:val="auto"/>
          <w:lang w:val="es-MX"/>
        </w:rPr>
        <w:t>Población de la localidad: 21.8291. Mujeres: 11.012 (50,4%), hombres: 10.817 (49,6%).  Es la décima localidad en tamaño</w:t>
      </w:r>
      <w:r>
        <w:rPr>
          <w:rStyle w:val="style4099"/>
          <w:color w:val="auto"/>
          <w:lang w:val="es-MX"/>
        </w:rPr>
        <w:t xml:space="preserve"> proporcional</w:t>
      </w:r>
      <w:r>
        <w:rPr>
          <w:rStyle w:val="style4099"/>
          <w:color w:val="auto"/>
          <w:lang w:val="es-MX"/>
        </w:rPr>
        <w:t xml:space="preserve"> de población de mujeres.  Una de cada 3 mujeres está en edad productiva (33,5% - 15 a 59 años).  Las mujeres son mayoría a partir del rango de 45 a 49 años. El 52,3% de las personas mayores de 60 años son mujeres.</w:t>
      </w:r>
      <w:r>
        <w:rPr>
          <w:rStyle w:val="style4100"/>
          <w:rFonts w:ascii="Arial" w:cs="Arial" w:hAnsi="Arial"/>
          <w:color w:val="auto"/>
          <w:sz w:val="22"/>
          <w:szCs w:val="22"/>
        </w:rPr>
        <w:t xml:space="preserve"> </w:t>
      </w:r>
      <w:r>
        <w:rPr>
          <w:rStyle w:val="style4099"/>
          <w:color w:val="auto"/>
          <w:lang w:val="es-MX"/>
        </w:rPr>
        <w:t xml:space="preserve">2 de cada 5 hogares tienen jefatura femenina (40,7%).  El 10,3% de los hogares están en condición de pobreza extrema y, entre los hogares con jefatura femenina, sube al 13,1%. </w:t>
      </w:r>
      <w:r>
        <w:rPr>
          <w:rStyle w:val="style38"/>
          <w:rFonts w:ascii="Arial" w:cs="Arial" w:hAnsi="Arial"/>
          <w:lang w:val="es-MX"/>
        </w:rPr>
        <w:footnoteReference w:id="3"/>
      </w:r>
      <w:r>
        <w:rPr>
          <w:rStyle w:val="style4099"/>
          <w:color w:val="auto"/>
          <w:lang w:val="es-MX"/>
        </w:rPr>
        <w:t xml:space="preserve"> </w:t>
      </w:r>
    </w:p>
    <w:p>
      <w:pPr>
        <w:pStyle w:val="style0"/>
        <w:tabs>
          <w:tab w:val="left" w:leader="none" w:pos="2520"/>
        </w:tabs>
        <w:jc w:val="both"/>
        <w:rPr>
          <w:rStyle w:val="style4099"/>
          <w:color w:val="auto"/>
          <w:lang w:val="es-MX"/>
        </w:rPr>
      </w:pPr>
      <w:r>
        <w:rPr>
          <w:rStyle w:val="style4099"/>
          <w:color w:val="auto"/>
          <w:lang w:val="es-MX"/>
        </w:rPr>
        <w:t>Así mismo, e</w:t>
      </w:r>
      <w:r>
        <w:rPr>
          <w:rStyle w:val="style4099"/>
          <w:color w:val="auto"/>
          <w:lang w:val="es-MX"/>
        </w:rPr>
        <w:t>ntre enero y junio de 2020, según el boletín mensual de delitos de alto impacto de la Secretaría Distrital de Seguridad, ha habido 59 casos de delitos sexuales hacia mujeres y 67 casos de violencia intrafamiliar en mujeres aumentando en un 21.8%, respecto del mismo periodo en el año 2019.</w:t>
      </w:r>
    </w:p>
    <w:p>
      <w:pPr>
        <w:pStyle w:val="style0"/>
        <w:tabs>
          <w:tab w:val="left" w:leader="none" w:pos="2520"/>
        </w:tabs>
        <w:jc w:val="both"/>
        <w:rPr>
          <w:rStyle w:val="style4099"/>
          <w:color w:val="auto"/>
          <w:lang w:val="es-MX"/>
        </w:rPr>
      </w:pPr>
    </w:p>
    <w:p>
      <w:pPr>
        <w:pStyle w:val="style0"/>
        <w:tabs>
          <w:tab w:val="left" w:leader="none" w:pos="2520"/>
        </w:tabs>
        <w:jc w:val="both"/>
        <w:rPr>
          <w:rStyle w:val="style4099"/>
          <w:color w:val="auto"/>
          <w:lang w:val="es-MX"/>
        </w:rPr>
      </w:pPr>
      <w:r>
        <w:rPr>
          <w:noProof/>
          <w:lang w:eastAsia="es-CO"/>
        </w:rPr>
        <w:drawing>
          <wp:inline distL="0" distT="0" distB="0" distR="0">
            <wp:extent cx="5764696" cy="4365686"/>
            <wp:effectExtent l="0" t="0" r="7620" b="0"/>
            <wp:docPr id="1048" name="Imagen 5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Imagen 50"/>
                    <pic:cNvPicPr/>
                  </pic:nvPicPr>
                  <pic:blipFill>
                    <a:blip r:embed="rId27" cstate="print"/>
                    <a:srcRect l="8857" t="11655" r="29160" b="4855"/>
                    <a:stretch/>
                  </pic:blipFill>
                  <pic:spPr>
                    <a:xfrm rot="0">
                      <a:off x="0" y="0"/>
                      <a:ext cx="5764696" cy="4365686"/>
                    </a:xfrm>
                    <a:prstGeom prst="rect"/>
                    <a:ln>
                      <a:noFill/>
                    </a:ln>
                  </pic:spPr>
                </pic:pic>
              </a:graphicData>
            </a:graphic>
          </wp:inline>
        </w:drawing>
      </w:r>
    </w:p>
    <w:p>
      <w:pPr>
        <w:pStyle w:val="style0"/>
        <w:tabs>
          <w:tab w:val="left" w:leader="none" w:pos="2520"/>
        </w:tabs>
        <w:jc w:val="center"/>
        <w:rPr>
          <w:rStyle w:val="style4099"/>
          <w:color w:val="auto"/>
          <w:lang w:val="es-MX"/>
        </w:rPr>
      </w:pPr>
      <w:r>
        <w:rPr>
          <w:rStyle w:val="style4099"/>
          <w:color w:val="auto"/>
          <w:lang w:val="es-MX"/>
        </w:rPr>
        <w:t xml:space="preserve">FUENTE: </w:t>
      </w:r>
      <w:r>
        <w:rPr>
          <w:rStyle w:val="style4099"/>
          <w:color w:val="auto"/>
          <w:lang w:val="es-MX"/>
        </w:rPr>
        <w:t>SECRETARÍA DISTRITAL DE SEGURIDAD</w:t>
      </w:r>
    </w:p>
    <w:p>
      <w:pPr>
        <w:pStyle w:val="style0"/>
        <w:tabs>
          <w:tab w:val="left" w:leader="none" w:pos="2520"/>
        </w:tabs>
        <w:jc w:val="center"/>
        <w:rPr>
          <w:rStyle w:val="style4099"/>
          <w:color w:val="auto"/>
          <w:lang w:val="es-MX"/>
        </w:rPr>
      </w:pPr>
    </w:p>
    <w:p>
      <w:pPr>
        <w:pStyle w:val="style0"/>
        <w:tabs>
          <w:tab w:val="left" w:leader="none" w:pos="2520"/>
        </w:tabs>
        <w:jc w:val="center"/>
        <w:rPr>
          <w:rStyle w:val="style4099"/>
          <w:color w:val="auto"/>
          <w:lang w:val="es-MX"/>
        </w:rPr>
      </w:pPr>
    </w:p>
    <w:p>
      <w:pPr>
        <w:pStyle w:val="style0"/>
        <w:tabs>
          <w:tab w:val="left" w:leader="none" w:pos="2520"/>
        </w:tabs>
        <w:jc w:val="center"/>
        <w:rPr>
          <w:rStyle w:val="style4099"/>
          <w:color w:val="auto"/>
          <w:lang w:val="es-MX"/>
        </w:rPr>
      </w:pPr>
    </w:p>
    <w:p>
      <w:pPr>
        <w:pStyle w:val="style0"/>
        <w:tabs>
          <w:tab w:val="left" w:leader="none" w:pos="2520"/>
        </w:tabs>
        <w:jc w:val="center"/>
        <w:rPr>
          <w:rStyle w:val="style4099"/>
          <w:color w:val="auto"/>
          <w:lang w:val="es-MX"/>
        </w:rPr>
      </w:pPr>
    </w:p>
    <w:p>
      <w:pPr>
        <w:pStyle w:val="style0"/>
        <w:tabs>
          <w:tab w:val="left" w:leader="none" w:pos="2520"/>
        </w:tabs>
        <w:jc w:val="both"/>
        <w:rPr>
          <w:rStyle w:val="style4099"/>
          <w:color w:val="auto"/>
          <w:lang w:val="es-MX"/>
        </w:rPr>
      </w:pPr>
      <w:r>
        <w:rPr>
          <w:rStyle w:val="style4099"/>
          <w:color w:val="auto"/>
          <w:lang w:val="es-MX"/>
        </w:rPr>
        <w:t>Frente a las temáticas asociadas a Género, Paz, Convivencia y Cultura Ciudadana, la localidad en general presenta uno de los peores comportamientos entre todas las localidades para todos los aspectos, siendo alta la incidencia de violencias.  Es el primer puesto a nivel distrital en casos de violencia intrafamiliar.</w:t>
      </w:r>
    </w:p>
    <w:p>
      <w:pPr>
        <w:pStyle w:val="style0"/>
        <w:tabs>
          <w:tab w:val="left" w:leader="none" w:pos="2520"/>
        </w:tabs>
        <w:jc w:val="both"/>
        <w:rPr>
          <w:rStyle w:val="style4099"/>
          <w:color w:val="auto"/>
          <w:lang w:val="es-MX"/>
        </w:rPr>
      </w:pPr>
      <w:r>
        <w:rPr>
          <w:rStyle w:val="style4099"/>
          <w:color w:val="auto"/>
          <w:lang w:val="es-MX"/>
        </w:rPr>
        <w:t>De acuerdo con la información reportada en el Sistema de Registro de Beneficiarios (SIRBE) de la Secretaría Distrital de Integración Social, en la Candelaria, durante el 2019, la Comisaría de Familia local registra 254 actuaciones, de las cuales, 72 se dirigieron a conciliaciones, preferentemente atendiendo lo relacionado con la custodia, alimentos y visitas en favor de niños, niñas, adolescentes y personas mayores; 67 actuaciones se dirigieron a trámites relacionados con violencia intrafamiliar y/o medidas de protección, se atendieron además 26 casos de conflictos familiares y 5 de maltrato infantil.</w:t>
      </w:r>
    </w:p>
    <w:p>
      <w:pPr>
        <w:pStyle w:val="style0"/>
        <w:tabs>
          <w:tab w:val="left" w:leader="none" w:pos="2520"/>
        </w:tabs>
        <w:jc w:val="both"/>
        <w:rPr>
          <w:rStyle w:val="style4099"/>
          <w:color w:val="auto"/>
          <w:lang w:val="es-MX"/>
        </w:rPr>
      </w:pPr>
      <w:r>
        <w:rPr>
          <w:rStyle w:val="style4099"/>
          <w:color w:val="auto"/>
          <w:lang w:val="es-MX"/>
        </w:rPr>
        <w:t xml:space="preserve">En Bogotá en el año 2019 se reportan </w:t>
      </w:r>
      <w:r>
        <w:rPr>
          <w:rStyle w:val="style4099"/>
          <w:color w:val="auto"/>
          <w:lang w:val="es-MX"/>
        </w:rPr>
        <w:t>9.751 nacimientos en mujeres menores de 19 años, de los cuales el 0.28% se registran desde la localidad de La Candelaria, es decir, 28 casos, que se distribuyen: 27 nacimientos en mujeres entre 15 y 19 años y 1 caso en una menor de 14.</w:t>
      </w:r>
    </w:p>
    <w:p>
      <w:pPr>
        <w:pStyle w:val="style0"/>
        <w:tabs>
          <w:tab w:val="left" w:leader="none" w:pos="2520"/>
        </w:tabs>
        <w:jc w:val="both"/>
        <w:rPr>
          <w:rFonts w:ascii="Arial" w:cs="Arial" w:hAnsi="Arial"/>
        </w:rPr>
      </w:pPr>
    </w:p>
    <w:p>
      <w:pPr>
        <w:pStyle w:val="style0"/>
        <w:tabs>
          <w:tab w:val="left" w:leader="none" w:pos="2520"/>
        </w:tabs>
        <w:jc w:val="both"/>
        <w:rPr>
          <w:rFonts w:ascii="Arial" w:cs="Arial" w:hAnsi="Arial"/>
        </w:rPr>
      </w:pPr>
    </w:p>
    <w:p>
      <w:pPr>
        <w:pStyle w:val="style0"/>
        <w:tabs>
          <w:tab w:val="left" w:leader="none" w:pos="2520"/>
        </w:tabs>
        <w:jc w:val="center"/>
        <w:rPr>
          <w:rFonts w:ascii="Arial" w:cs="Arial" w:hAnsi="Arial"/>
        </w:rPr>
      </w:pPr>
      <w:r>
        <w:rPr>
          <w:rFonts w:ascii="Arial" w:cs="Arial" w:hAnsi="Arial"/>
          <w:noProof/>
          <w:lang w:eastAsia="es-CO"/>
        </w:rPr>
        <w:drawing>
          <wp:inline distL="0" distT="0" distB="0" distR="0">
            <wp:extent cx="4953000" cy="2968408"/>
            <wp:effectExtent l="0" t="0" r="0" b="3810"/>
            <wp:docPr id="1049" name="Imagen 2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1" name="Imagen 25"/>
                    <pic:cNvPicPr/>
                  </pic:nvPicPr>
                  <pic:blipFill>
                    <a:blip r:embed="rId28" cstate="print"/>
                    <a:srcRect l="26816" t="25961" r="23625" b="21211"/>
                    <a:stretch/>
                  </pic:blipFill>
                  <pic:spPr>
                    <a:xfrm rot="0">
                      <a:off x="0" y="0"/>
                      <a:ext cx="4953000" cy="2968408"/>
                    </a:xfrm>
                    <a:prstGeom prst="rect"/>
                    <a:ln>
                      <a:noFill/>
                    </a:ln>
                  </pic:spPr>
                </pic:pic>
              </a:graphicData>
            </a:graphic>
          </wp:inline>
        </w:drawing>
      </w:r>
    </w:p>
    <w:p>
      <w:pPr>
        <w:pStyle w:val="style0"/>
        <w:tabs>
          <w:tab w:val="left" w:leader="none" w:pos="2520"/>
        </w:tabs>
        <w:jc w:val="center"/>
        <w:rPr>
          <w:rFonts w:ascii="Arial" w:cs="Arial" w:hAnsi="Arial"/>
          <w:lang w:val="es-MX"/>
        </w:rPr>
      </w:pPr>
      <w:r>
        <w:rPr>
          <w:rFonts w:ascii="Arial" w:cs="Arial" w:hAnsi="Arial"/>
          <w:lang w:val="es-MX"/>
        </w:rPr>
        <w:t>FUENTE: INDICADORES DE DIAGNOSTICO LOCAL, SDP, 2019</w:t>
      </w:r>
    </w:p>
    <w:p>
      <w:pPr>
        <w:pStyle w:val="style0"/>
        <w:tabs>
          <w:tab w:val="left" w:leader="none" w:pos="2520"/>
        </w:tabs>
        <w:jc w:val="center"/>
        <w:rPr>
          <w:rFonts w:ascii="Arial" w:cs="Arial" w:hAnsi="Arial"/>
        </w:rPr>
      </w:pPr>
      <w:r>
        <w:rPr>
          <w:rFonts w:ascii="Arial" w:cs="Arial" w:hAnsi="Arial"/>
          <w:noProof/>
          <w:lang w:eastAsia="es-CO"/>
        </w:rPr>
        <w:drawing>
          <wp:inline distL="0" distT="0" distB="0" distR="0">
            <wp:extent cx="4953000" cy="2749841"/>
            <wp:effectExtent l="0" t="0" r="0" b="0"/>
            <wp:docPr id="1050" name="Imagen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2" name="Imagen 7"/>
                    <pic:cNvPicPr/>
                  </pic:nvPicPr>
                  <pic:blipFill>
                    <a:blip r:embed="rId29" cstate="print"/>
                    <a:srcRect l="12634" t="18560" r="12829" b="7839"/>
                    <a:stretch/>
                  </pic:blipFill>
                  <pic:spPr>
                    <a:xfrm rot="0">
                      <a:off x="0" y="0"/>
                      <a:ext cx="4953000" cy="2749841"/>
                    </a:xfrm>
                    <a:prstGeom prst="rect"/>
                    <a:ln>
                      <a:noFill/>
                    </a:ln>
                  </pic:spPr>
                </pic:pic>
              </a:graphicData>
            </a:graphic>
          </wp:inline>
        </w:drawing>
      </w:r>
    </w:p>
    <w:p>
      <w:pPr>
        <w:pStyle w:val="style0"/>
        <w:tabs>
          <w:tab w:val="left" w:leader="none" w:pos="2520"/>
        </w:tabs>
        <w:jc w:val="center"/>
        <w:rPr>
          <w:rFonts w:ascii="Arial" w:cs="Arial" w:hAnsi="Arial"/>
        </w:rPr>
      </w:pPr>
      <w:r>
        <w:rPr>
          <w:rFonts w:ascii="Arial" w:cs="Arial" w:hAnsi="Arial"/>
          <w:lang w:val="es-MX"/>
        </w:rPr>
        <w:t>FUENTE: INDICADORES DE DIAGNOSTICO LOCAL, SDP, 2019</w:t>
      </w:r>
    </w:p>
    <w:p>
      <w:pPr>
        <w:pStyle w:val="style0"/>
        <w:spacing w:after="0" w:lineRule="auto" w:line="240"/>
        <w:jc w:val="both"/>
        <w:rPr>
          <w:rFonts w:ascii="Arial" w:cs="Arial" w:eastAsia="Times New Roman" w:hAnsi="Arial"/>
          <w:lang w:val="es-MX"/>
        </w:rPr>
      </w:pPr>
      <w:r>
        <w:rPr>
          <w:rFonts w:ascii="Arial" w:cs="Arial" w:hAnsi="Arial"/>
          <w:noProof/>
          <w:lang w:eastAsia="es-CO"/>
        </w:rPr>
        <w:drawing>
          <wp:inline distL="0" distT="0" distB="0" distR="0">
            <wp:extent cx="5772150" cy="3287450"/>
            <wp:effectExtent l="0" t="0" r="0" b="8255"/>
            <wp:docPr id="1051" name="Imagen 2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Imagen 28"/>
                    <pic:cNvPicPr/>
                  </pic:nvPicPr>
                  <pic:blipFill>
                    <a:blip r:embed="rId30" cstate="print"/>
                    <a:srcRect l="25458" t="35319" r="23286" b="12760"/>
                    <a:stretch/>
                  </pic:blipFill>
                  <pic:spPr>
                    <a:xfrm rot="0">
                      <a:off x="0" y="0"/>
                      <a:ext cx="5772150" cy="3287450"/>
                    </a:xfrm>
                    <a:prstGeom prst="rect"/>
                    <a:ln>
                      <a:noFill/>
                    </a:ln>
                  </pic:spPr>
                </pic:pic>
              </a:graphicData>
            </a:graphic>
          </wp:inline>
        </w:drawing>
      </w:r>
    </w:p>
    <w:p>
      <w:pPr>
        <w:pStyle w:val="style0"/>
        <w:spacing w:after="0" w:lineRule="auto" w:line="240"/>
        <w:jc w:val="center"/>
        <w:rPr>
          <w:rFonts w:ascii="Arial" w:cs="Arial" w:hAnsi="Arial"/>
          <w:lang w:val="es-MX"/>
        </w:rPr>
      </w:pPr>
      <w:r>
        <w:rPr>
          <w:rFonts w:ascii="Arial" w:cs="Arial" w:hAnsi="Arial"/>
          <w:lang w:val="es-MX"/>
        </w:rPr>
        <w:t>FUENTE: INDICADORES DE DIAGNOSTICO LOCAL, SDP, 2019</w:t>
      </w:r>
    </w:p>
    <w:p>
      <w:pPr>
        <w:pStyle w:val="style0"/>
        <w:spacing w:after="0" w:lineRule="auto" w:line="240"/>
        <w:jc w:val="both"/>
        <w:rPr>
          <w:rFonts w:ascii="Arial" w:cs="Arial"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En la localidad, el 98,4% de las mujeres mayores de 15 años saben leer y escribir. De este mismo grupo de edad, el 16,2% de mujeres estaban estudiando en el momento de la indagación.  Pero solo 1 de cada 5 mujeres de 15 años o más alcanzaron como nivel máximo la primaria, 2 de cada 5 mujeres la básica secundaria o la media; una de cada 10 algún estudio técnico y una de cada 5 ha realizado algún estudio universitario.</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4"/>
        <w:rPr>
          <w:rFonts w:ascii="Arial" w:cs="Arial" w:eastAsia="Times New Roman" w:hAnsi="Arial"/>
          <w:color w:val="auto"/>
          <w:lang w:val="es-MX"/>
        </w:rPr>
      </w:pPr>
      <w:r>
        <w:rPr>
          <w:rFonts w:ascii="Arial" w:cs="Arial" w:eastAsia="Times New Roman" w:hAnsi="Arial"/>
          <w:color w:val="auto"/>
          <w:lang w:val="es-MX"/>
        </w:rPr>
        <w:t xml:space="preserve">Gestión Pública: </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En la localidad de La Candelaria actualmente habitan 1354 víctimas</w:t>
      </w:r>
      <w:r>
        <w:rPr>
          <w:rFonts w:ascii="Arial" w:cs="Arial" w:eastAsia="Times New Roman" w:hAnsi="Arial"/>
          <w:lang w:val="es-MX"/>
        </w:rPr>
        <w:t xml:space="preserve"> del conflicto armado,</w:t>
      </w:r>
      <w:r>
        <w:rPr>
          <w:rFonts w:ascii="Arial" w:cs="Arial" w:eastAsia="Times New Roman" w:hAnsi="Arial"/>
          <w:lang w:val="es-MX"/>
        </w:rPr>
        <w:t xml:space="preserve">  numero bajo comparado con otras localidades</w:t>
      </w:r>
      <w:r>
        <w:rPr>
          <w:rFonts w:ascii="Arial" w:cs="Arial" w:eastAsia="Times New Roman" w:hAnsi="Arial"/>
          <w:lang w:val="es-MX"/>
        </w:rPr>
        <w:t>, pero significativo sí lo vemos en términos porcentuales</w:t>
      </w:r>
      <w:r>
        <w:rPr>
          <w:rFonts w:ascii="Arial" w:cs="Arial" w:eastAsia="Times New Roman" w:hAnsi="Arial"/>
          <w:lang w:val="es-MX"/>
        </w:rPr>
        <w:t xml:space="preserve">. </w:t>
      </w:r>
    </w:p>
    <w:p>
      <w:pPr>
        <w:pStyle w:val="style0"/>
        <w:spacing w:after="0" w:lineRule="auto" w:line="240"/>
        <w:jc w:val="both"/>
        <w:rPr>
          <w:rFonts w:ascii="Arial" w:cs="Arial" w:eastAsia="Times New Roman" w:hAnsi="Arial"/>
          <w:lang w:val="es-MX"/>
        </w:rPr>
      </w:pPr>
      <w:r>
        <w:rPr>
          <w:rFonts w:ascii="Arial" w:cs="Arial" w:hAnsi="Arial"/>
          <w:noProof/>
          <w:lang w:eastAsia="es-CO"/>
        </w:rPr>
        <w:drawing>
          <wp:inline distL="0" distT="0" distB="0" distR="0">
            <wp:extent cx="5611495" cy="3144697"/>
            <wp:effectExtent l="0" t="0" r="8255" b="0"/>
            <wp:docPr id="1052" name="Imagen 3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4" name="Imagen 30"/>
                    <pic:cNvPicPr/>
                  </pic:nvPicPr>
                  <pic:blipFill>
                    <a:blip r:embed="rId31" cstate="print"/>
                    <a:srcRect l="26477" t="32904" r="22947" b="16684"/>
                    <a:stretch/>
                  </pic:blipFill>
                  <pic:spPr>
                    <a:xfrm rot="0">
                      <a:off x="0" y="0"/>
                      <a:ext cx="5611495" cy="3144697"/>
                    </a:xfrm>
                    <a:prstGeom prst="rect"/>
                    <a:ln>
                      <a:noFill/>
                    </a:ln>
                  </pic:spPr>
                </pic:pic>
              </a:graphicData>
            </a:graphic>
          </wp:inline>
        </w:drawing>
      </w:r>
    </w:p>
    <w:p>
      <w:pPr>
        <w:pStyle w:val="style0"/>
        <w:spacing w:after="0" w:lineRule="auto" w:line="240"/>
        <w:jc w:val="center"/>
        <w:rPr>
          <w:rFonts w:ascii="Arial" w:cs="Arial" w:hAnsi="Arial"/>
          <w:lang w:val="es-MX"/>
        </w:rPr>
      </w:pPr>
      <w:r>
        <w:rPr>
          <w:rFonts w:ascii="Arial" w:cs="Arial" w:hAnsi="Arial"/>
          <w:lang w:val="es-MX"/>
        </w:rPr>
        <w:t>FUENTE: INDICADORES DE DIAGNOSTICO LOCAL, SDP, 2019</w:t>
      </w:r>
    </w:p>
    <w:p>
      <w:pPr>
        <w:pStyle w:val="style0"/>
        <w:spacing w:after="0" w:lineRule="auto" w:line="240"/>
        <w:jc w:val="center"/>
        <w:rPr>
          <w:rFonts w:ascii="Arial" w:cs="Arial" w:hAnsi="Arial"/>
          <w:lang w:val="es-MX"/>
        </w:rPr>
      </w:pPr>
    </w:p>
    <w:p>
      <w:pPr>
        <w:pStyle w:val="style0"/>
        <w:spacing w:after="0" w:lineRule="auto" w:line="240"/>
        <w:jc w:val="center"/>
        <w:rPr>
          <w:rFonts w:ascii="Arial" w:cs="Arial" w:hAnsi="Arial"/>
          <w:lang w:val="es-MX"/>
        </w:rPr>
      </w:pPr>
    </w:p>
    <w:p>
      <w:pPr>
        <w:pStyle w:val="style0"/>
        <w:spacing w:after="0" w:lineRule="auto" w:line="240"/>
        <w:jc w:val="center"/>
        <w:rPr>
          <w:rFonts w:ascii="Arial" w:cs="Arial" w:hAnsi="Arial"/>
          <w:lang w:val="es-MX"/>
        </w:rPr>
      </w:pPr>
    </w:p>
    <w:p>
      <w:pPr>
        <w:pStyle w:val="style4"/>
        <w:rPr>
          <w:rFonts w:ascii="Arial" w:cs="Arial" w:eastAsia="Times New Roman" w:hAnsi="Arial"/>
          <w:color w:val="auto"/>
          <w:lang w:val="es-MX"/>
        </w:rPr>
      </w:pPr>
      <w:r>
        <w:rPr>
          <w:rFonts w:ascii="Arial" w:cs="Arial" w:eastAsia="Times New Roman" w:hAnsi="Arial"/>
          <w:color w:val="auto"/>
          <w:lang w:val="es-MX"/>
        </w:rPr>
        <w:t>Seguridad convivencia y Justicia:</w:t>
      </w:r>
    </w:p>
    <w:p>
      <w:pPr>
        <w:pStyle w:val="style0"/>
        <w:rPr>
          <w:rFonts w:ascii="Arial" w:cs="Arial" w:hAnsi="Arial"/>
          <w:lang w:val="es-MX"/>
        </w:rPr>
      </w:pPr>
    </w:p>
    <w:p>
      <w:pPr>
        <w:pStyle w:val="style0"/>
        <w:rPr>
          <w:rFonts w:ascii="Arial" w:cs="Arial" w:hAnsi="Arial"/>
          <w:lang w:val="es-MX"/>
        </w:rPr>
      </w:pPr>
      <w:r>
        <w:rPr>
          <w:rFonts w:ascii="Arial" w:cs="Arial" w:hAnsi="Arial"/>
          <w:lang w:val="es-MX"/>
        </w:rPr>
        <w:t xml:space="preserve">En las tasas de </w:t>
      </w:r>
      <w:r>
        <w:rPr>
          <w:rFonts w:ascii="Arial" w:cs="Arial" w:hAnsi="Arial"/>
          <w:lang w:val="es-MX"/>
        </w:rPr>
        <w:t>l</w:t>
      </w:r>
      <w:r>
        <w:rPr>
          <w:rFonts w:ascii="Arial" w:cs="Arial" w:hAnsi="Arial"/>
          <w:lang w:val="es-MX"/>
        </w:rPr>
        <w:t xml:space="preserve">esiones personales y </w:t>
      </w:r>
      <w:r>
        <w:rPr>
          <w:rFonts w:ascii="Arial" w:cs="Arial" w:hAnsi="Arial"/>
          <w:lang w:val="es-MX"/>
        </w:rPr>
        <w:t>h</w:t>
      </w:r>
      <w:r>
        <w:rPr>
          <w:rFonts w:ascii="Arial" w:cs="Arial" w:hAnsi="Arial"/>
          <w:lang w:val="es-MX"/>
        </w:rPr>
        <w:t xml:space="preserve">urto por cada 100 mil habitantes, la localidad presenta un comportamiento alto ocupando el primer y tercer puesto a nivel Distrital Respectivamente. </w:t>
      </w:r>
    </w:p>
    <w:p>
      <w:pPr>
        <w:pStyle w:val="style0"/>
        <w:rPr>
          <w:rFonts w:ascii="Arial" w:cs="Arial" w:hAnsi="Arial"/>
          <w:lang w:val="es-MX"/>
        </w:rPr>
      </w:pPr>
    </w:p>
    <w:p>
      <w:pPr>
        <w:pStyle w:val="style0"/>
        <w:rPr>
          <w:rFonts w:ascii="Arial" w:cs="Arial" w:hAnsi="Arial"/>
          <w:lang w:val="es-MX"/>
        </w:rPr>
      </w:pPr>
    </w:p>
    <w:p>
      <w:pPr>
        <w:pStyle w:val="style0"/>
        <w:rPr>
          <w:rFonts w:ascii="Arial" w:cs="Arial" w:hAnsi="Arial"/>
          <w:lang w:val="es-MX"/>
        </w:rPr>
      </w:pPr>
      <w:r>
        <w:rPr>
          <w:rFonts w:ascii="Arial" w:cs="Arial" w:hAnsi="Arial"/>
          <w:noProof/>
          <w:lang w:eastAsia="es-CO"/>
        </w:rPr>
        <w:drawing>
          <wp:inline distL="0" distT="0" distB="0" distR="0">
            <wp:extent cx="5705475" cy="3503698"/>
            <wp:effectExtent l="0" t="0" r="0" b="1905"/>
            <wp:docPr id="1053" name="Imagen 3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5" name="Imagen 31"/>
                    <pic:cNvPicPr/>
                  </pic:nvPicPr>
                  <pic:blipFill>
                    <a:blip r:embed="rId32" cstate="print"/>
                    <a:srcRect l="26646" t="28678" r="22778" b="16079"/>
                    <a:stretch/>
                  </pic:blipFill>
                  <pic:spPr>
                    <a:xfrm rot="0">
                      <a:off x="0" y="0"/>
                      <a:ext cx="5705475" cy="3503698"/>
                    </a:xfrm>
                    <a:prstGeom prst="rect"/>
                    <a:ln>
                      <a:noFill/>
                    </a:ln>
                  </pic:spPr>
                </pic:pic>
              </a:graphicData>
            </a:graphic>
          </wp:inline>
        </w:drawing>
      </w:r>
    </w:p>
    <w:p>
      <w:pPr>
        <w:pStyle w:val="style0"/>
        <w:jc w:val="center"/>
        <w:rPr>
          <w:rFonts w:ascii="Arial" w:cs="Arial" w:hAnsi="Arial"/>
          <w:lang w:val="es-MX"/>
        </w:rPr>
      </w:pPr>
      <w:r>
        <w:rPr>
          <w:rFonts w:ascii="Arial" w:cs="Arial" w:hAnsi="Arial"/>
          <w:lang w:val="es-MX"/>
        </w:rPr>
        <w:t>FUENTE: INDICADORES DE DIAGNOSTICO LOCAL, SDP, 2019</w:t>
      </w:r>
    </w:p>
    <w:p>
      <w:pPr>
        <w:pStyle w:val="style0"/>
        <w:spacing w:after="0" w:lineRule="auto" w:line="240"/>
        <w:jc w:val="both"/>
        <w:rPr>
          <w:rFonts w:ascii="Arial" w:cs="Arial" w:eastAsia="Times New Roman" w:hAnsi="Arial"/>
          <w:lang w:val="es-MX"/>
        </w:rPr>
      </w:pPr>
      <w:r>
        <w:rPr>
          <w:rFonts w:ascii="Arial" w:cs="Arial" w:hAnsi="Arial"/>
          <w:noProof/>
          <w:lang w:eastAsia="es-CO"/>
        </w:rPr>
        <w:drawing>
          <wp:inline distL="0" distT="0" distB="0" distR="0">
            <wp:extent cx="5638800" cy="3298165"/>
            <wp:effectExtent l="0" t="0" r="0" b="0"/>
            <wp:docPr id="1054" name="Imagen 3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6" name="Imagen 33"/>
                    <pic:cNvPicPr/>
                  </pic:nvPicPr>
                  <pic:blipFill>
                    <a:blip r:embed="rId33" cstate="print"/>
                    <a:srcRect l="23761" t="32602" r="22267" b="11250"/>
                    <a:stretch/>
                  </pic:blipFill>
                  <pic:spPr>
                    <a:xfrm rot="0">
                      <a:off x="0" y="0"/>
                      <a:ext cx="5638800" cy="3298165"/>
                    </a:xfrm>
                    <a:prstGeom prst="rect"/>
                    <a:ln>
                      <a:noFill/>
                    </a:ln>
                  </pic:spPr>
                </pic:pic>
              </a:graphicData>
            </a:graphic>
          </wp:inline>
        </w:drawing>
      </w:r>
    </w:p>
    <w:p>
      <w:pPr>
        <w:pStyle w:val="style0"/>
        <w:spacing w:after="0" w:lineRule="auto" w:line="240"/>
        <w:jc w:val="center"/>
        <w:rPr>
          <w:rFonts w:ascii="Arial" w:cs="Arial" w:hAnsi="Arial"/>
          <w:lang w:val="es-MX"/>
        </w:rPr>
      </w:pPr>
      <w:r>
        <w:rPr>
          <w:rFonts w:ascii="Arial" w:cs="Arial" w:hAnsi="Arial"/>
          <w:lang w:val="es-MX"/>
        </w:rPr>
        <w:t>FUENTE: INDICADORES DE DIAGNOSTICO LOCAL, SDP, 2019</w:t>
      </w:r>
    </w:p>
    <w:p>
      <w:pPr>
        <w:pStyle w:val="style0"/>
        <w:spacing w:after="0" w:lineRule="auto" w:line="240"/>
        <w:jc w:val="center"/>
        <w:rPr>
          <w:rFonts w:ascii="Arial" w:cs="Arial" w:hAnsi="Arial"/>
          <w:lang w:val="es-MX"/>
        </w:rPr>
      </w:pPr>
    </w:p>
    <w:p>
      <w:pPr>
        <w:pStyle w:val="style0"/>
        <w:spacing w:after="0" w:lineRule="auto" w:line="240"/>
        <w:jc w:val="center"/>
        <w:rPr>
          <w:rFonts w:ascii="Arial" w:cs="Arial" w:hAnsi="Arial"/>
          <w:lang w:val="es-MX"/>
        </w:rPr>
      </w:pPr>
    </w:p>
    <w:bookmarkStart w:id="26" w:name="_Toc47477398"/>
    <w:p>
      <w:pPr>
        <w:pStyle w:val="style3"/>
        <w:rPr>
          <w:rFonts w:ascii="Arial" w:cs="Arial" w:eastAsia="Times New Roman" w:hAnsi="Arial"/>
          <w:color w:val="auto"/>
          <w:sz w:val="22"/>
          <w:szCs w:val="22"/>
          <w:lang w:val="es-MX"/>
        </w:rPr>
      </w:pPr>
      <w:r>
        <w:rPr>
          <w:rFonts w:ascii="Arial" w:cs="Arial" w:eastAsia="Times New Roman" w:hAnsi="Arial"/>
          <w:color w:val="auto"/>
          <w:sz w:val="22"/>
          <w:szCs w:val="22"/>
          <w:lang w:val="es-MX"/>
        </w:rPr>
        <w:t>INFRAESTRUCTURA:</w:t>
      </w:r>
      <w:bookmarkEnd w:id="26"/>
      <w:r>
        <w:rPr>
          <w:rFonts w:ascii="Arial" w:cs="Arial" w:eastAsia="Times New Roman" w:hAnsi="Arial"/>
          <w:color w:val="auto"/>
          <w:sz w:val="22"/>
          <w:szCs w:val="22"/>
          <w:lang w:val="es-MX"/>
        </w:rPr>
        <w:t xml:space="preserve"> </w:t>
      </w:r>
    </w:p>
    <w:p>
      <w:pPr>
        <w:pStyle w:val="style0"/>
        <w:jc w:val="both"/>
        <w:rPr>
          <w:rFonts w:ascii="Arial" w:cs="Arial" w:hAnsi="Arial"/>
          <w:lang w:val="es-MX"/>
        </w:rPr>
      </w:pPr>
    </w:p>
    <w:p>
      <w:pPr>
        <w:pStyle w:val="style4"/>
        <w:rPr>
          <w:rFonts w:ascii="Arial" w:cs="Arial" w:hAnsi="Arial"/>
          <w:color w:val="auto"/>
          <w:lang w:val="es-MX"/>
        </w:rPr>
      </w:pPr>
      <w:r>
        <w:rPr>
          <w:rFonts w:ascii="Arial" w:cs="Arial" w:hAnsi="Arial"/>
          <w:color w:val="auto"/>
          <w:lang w:val="es-MX"/>
        </w:rPr>
        <w:t xml:space="preserve">Movilidad: </w:t>
      </w:r>
    </w:p>
    <w:p>
      <w:pPr>
        <w:pStyle w:val="style0"/>
        <w:rPr>
          <w:rFonts w:ascii="Arial" w:cs="Arial" w:hAnsi="Arial"/>
          <w:lang w:val="es-MX"/>
        </w:rPr>
      </w:pPr>
    </w:p>
    <w:p>
      <w:pPr>
        <w:pStyle w:val="style0"/>
        <w:jc w:val="both"/>
        <w:rPr>
          <w:rFonts w:ascii="Arial" w:cs="Arial" w:eastAsia="Times New Roman" w:hAnsi="Arial"/>
          <w:lang w:val="es-MX"/>
        </w:rPr>
      </w:pPr>
      <w:r>
        <w:rPr>
          <w:rFonts w:ascii="Arial" w:cs="Arial" w:eastAsia="Times New Roman" w:hAnsi="Arial"/>
          <w:lang w:val="es-MX"/>
        </w:rPr>
        <w:t>La localidad de La Candelaria cuenta con un total de 14,5 kilómetros lineales, que equivalen, 58,1 kilómetros carril en vías de diferentes tipologías.</w:t>
      </w:r>
    </w:p>
    <w:p>
      <w:pPr>
        <w:pStyle w:val="style0"/>
        <w:jc w:val="both"/>
        <w:rPr>
          <w:rStyle w:val="style4099"/>
          <w:color w:val="auto"/>
          <w:lang w:val="es-MX"/>
        </w:rPr>
      </w:pPr>
      <w:r>
        <w:rPr>
          <w:rStyle w:val="style4099"/>
          <w:color w:val="auto"/>
          <w:lang w:val="es-MX"/>
        </w:rPr>
        <w:t>Según el Plan de Ordenamiento Territorial (POT), las vías urbanas están clasificadas en</w:t>
      </w:r>
      <w:r>
        <w:rPr>
          <w:rFonts w:ascii="Arial" w:cs="Arial" w:hAnsi="Arial"/>
          <w:lang w:val="es-MX"/>
        </w:rPr>
        <w:br/>
      </w:r>
      <w:r>
        <w:rPr>
          <w:rStyle w:val="style4099"/>
          <w:color w:val="auto"/>
          <w:lang w:val="es-MX"/>
        </w:rPr>
        <w:t>cuatro mallas jerarquizadas y relacionadas funcionalmente por las intersecciones</w:t>
      </w:r>
      <w:r>
        <w:rPr>
          <w:rFonts w:ascii="Arial" w:cs="Arial" w:hAnsi="Arial"/>
          <w:lang w:val="es-MX"/>
        </w:rPr>
        <w:br/>
      </w:r>
      <w:r>
        <w:rPr>
          <w:rStyle w:val="style4099"/>
          <w:color w:val="auto"/>
          <w:lang w:val="es-MX"/>
        </w:rPr>
        <w:t>generadas entre ellas. Estas son las características técnicas de cada una:</w:t>
      </w:r>
      <w:r>
        <w:rPr>
          <w:rFonts w:ascii="Arial" w:cs="Arial" w:hAnsi="Arial"/>
          <w:lang w:val="es-MX"/>
        </w:rPr>
        <w:br/>
      </w:r>
      <w:r>
        <w:rPr>
          <w:rStyle w:val="style4099"/>
          <w:color w:val="auto"/>
          <w:lang w:val="es-MX"/>
        </w:rPr>
        <w:t>Malla vial arterial principal: son las vías de mayor jerarquía; actúan como soporte de la</w:t>
      </w:r>
      <w:r>
        <w:rPr>
          <w:rFonts w:ascii="Arial" w:cs="Arial" w:hAnsi="Arial"/>
          <w:lang w:val="es-MX"/>
        </w:rPr>
        <w:br/>
      </w:r>
      <w:r>
        <w:rPr>
          <w:rStyle w:val="style4099"/>
          <w:color w:val="auto"/>
          <w:lang w:val="es-MX"/>
        </w:rPr>
        <w:t xml:space="preserve">movilidad y accesibilidad metropolitana y regional. </w:t>
      </w:r>
    </w:p>
    <w:p>
      <w:pPr>
        <w:pStyle w:val="style0"/>
        <w:jc w:val="both"/>
        <w:rPr>
          <w:rStyle w:val="style4099"/>
          <w:color w:val="auto"/>
          <w:lang w:val="es-MX"/>
        </w:rPr>
      </w:pPr>
      <w:r>
        <w:rPr>
          <w:rStyle w:val="style4099"/>
          <w:color w:val="auto"/>
          <w:lang w:val="es-MX"/>
        </w:rPr>
        <w:t xml:space="preserve">Se clasifican en V-0 y V-1. Malla vial arterial complementaria: son las vías que articulan operacionalmente la malla vial arterial principal, lo que facilita la movilidad de mediana y larga distancia como articulación escala urbana. </w:t>
      </w:r>
    </w:p>
    <w:p>
      <w:pPr>
        <w:pStyle w:val="style0"/>
        <w:jc w:val="both"/>
        <w:rPr>
          <w:rStyle w:val="style4099"/>
          <w:color w:val="auto"/>
          <w:lang w:val="es-MX"/>
        </w:rPr>
      </w:pPr>
      <w:r>
        <w:rPr>
          <w:rStyle w:val="style4099"/>
          <w:color w:val="auto"/>
          <w:lang w:val="es-MX"/>
        </w:rPr>
        <w:t>Se clasifican en V-2, V-3 y V3E Malla vial intermedia: son los tramos viales que conectan la retícula que conforma las mallas arteriales principal y complementaria, y sirven como alternativa de circulación. Permiten el acceso y fluidez de la ciudad a escala zonal. Se designan como V-4R (Vías rurales).</w:t>
      </w:r>
    </w:p>
    <w:p>
      <w:pPr>
        <w:pStyle w:val="style0"/>
        <w:jc w:val="both"/>
        <w:rPr>
          <w:rFonts w:ascii="Arial" w:cs="Arial" w:eastAsia="Times New Roman" w:hAnsi="Arial"/>
          <w:lang w:val="es-MX"/>
        </w:rPr>
      </w:pPr>
      <w:r>
        <w:rPr>
          <w:rFonts w:ascii="Arial" w:cs="Arial" w:hAnsi="Arial"/>
          <w:noProof/>
          <w:lang w:eastAsia="es-CO"/>
        </w:rPr>
        <w:drawing>
          <wp:inline distL="0" distT="0" distB="0" distR="0">
            <wp:extent cx="5605770" cy="1114425"/>
            <wp:effectExtent l="0" t="0" r="0" b="0"/>
            <wp:docPr id="1055" name="Imagen 3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7" name="Imagen 32"/>
                    <pic:cNvPicPr/>
                  </pic:nvPicPr>
                  <pic:blipFill>
                    <a:blip r:embed="rId34" cstate="print"/>
                    <a:srcRect l="0" t="0" r="0" b="0"/>
                    <a:stretch/>
                  </pic:blipFill>
                  <pic:spPr>
                    <a:xfrm rot="0">
                      <a:off x="0" y="0"/>
                      <a:ext cx="5605770" cy="1114425"/>
                    </a:xfrm>
                    <a:prstGeom prst="rect"/>
                    <a:ln>
                      <a:noFill/>
                    </a:ln>
                  </pic:spPr>
                </pic:pic>
              </a:graphicData>
            </a:graphic>
          </wp:inline>
        </w:drawing>
      </w:r>
    </w:p>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La localidad de La Candelaria cuenta con 75 Km/Carril de malla vial distribuidos de la siguiente manera: Arterial: 11,5 Km/Carril; Intermedia: 38 Km./Carril; malla vial local 25.5 Km carril (Datos de la Dirección Técnica de Planeación del Instituto de Desarrollo Urbano). Un alto porcentaje de las vías de la localidad se encuentran actualmente en mal estado y el presupuesto con que cuenta el Fondo de Desarrollo Local para proyectos de infraestructura vial resulta muy escaso frente a las necesidades de inversión requeridas.  Según los  datos de Planeación Distrital </w:t>
      </w:r>
      <w:r>
        <w:rPr>
          <w:rFonts w:ascii="Arial" w:cs="Arial" w:hAnsi="Arial"/>
        </w:rPr>
        <w:t>la localidad evidencia unas necesidades medias de mantenimiento –más no de construcción- de malla vial intermedia y local, bajas frente al espacio público peatonal, y su población es demandante alta de ciclo-infraestructura. Frente a los parques su nivel de presencia es bajo.</w:t>
      </w:r>
    </w:p>
    <w:p>
      <w:pPr>
        <w:pStyle w:val="style0"/>
        <w:spacing w:after="0" w:lineRule="auto" w:line="240"/>
        <w:jc w:val="both"/>
        <w:rPr>
          <w:rFonts w:ascii="Arial" w:cs="Arial" w:eastAsia="Times New Roman" w:hAnsi="Arial"/>
          <w:lang w:val="es-MX"/>
        </w:rPr>
      </w:pPr>
      <w:r>
        <w:rPr>
          <w:rFonts w:ascii="Arial" w:cs="Arial" w:eastAsia="Times New Roman" w:hAnsi="Arial"/>
          <w:lang w:val="es-MX"/>
        </w:rPr>
        <w:br/>
      </w:r>
      <w:r>
        <w:rPr>
          <w:rFonts w:ascii="Arial" w:cs="Arial" w:hAnsi="Arial"/>
        </w:rPr>
        <w:t>En cuanto a las temáticas asociadas a los Conceptos de Gasto de la Línea de Inversión en “Movilidad y Espacio Público”, la localidad evidencia unas necesidades medias de mantenimiento –más no de construcción- de malla vial intermedia y local, bajas frente al espacio público peatonal, y su población es demandante alta de ciclo-infraestructura. Frente a los parques su nivel de presencia es bajo</w:t>
      </w:r>
    </w:p>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Según indicadores de Planeación Distrital, la Candelaria tiene un comportamiento medio en malla vial intermedia en buen estado: </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hAnsi="Arial"/>
          <w:noProof/>
          <w:lang w:eastAsia="es-CO"/>
        </w:rPr>
        <w:drawing>
          <wp:inline distL="0" distT="0" distB="0" distR="0">
            <wp:extent cx="5305425" cy="2971800"/>
            <wp:effectExtent l="0" t="0" r="9525" b="0"/>
            <wp:docPr id="1056" name="Imagen 3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8" name="Imagen 35"/>
                    <pic:cNvPicPr/>
                  </pic:nvPicPr>
                  <pic:blipFill>
                    <a:blip r:embed="rId35" cstate="print"/>
                    <a:srcRect l="26985" t="26830" r="22437" b="19905"/>
                    <a:stretch/>
                  </pic:blipFill>
                  <pic:spPr>
                    <a:xfrm rot="0">
                      <a:off x="0" y="0"/>
                      <a:ext cx="5305425" cy="2971800"/>
                    </a:xfrm>
                    <a:prstGeom prst="rect"/>
                    <a:ln>
                      <a:noFill/>
                    </a:ln>
                  </pic:spPr>
                </pic:pic>
              </a:graphicData>
            </a:graphic>
          </wp:inline>
        </w:drawing>
      </w:r>
    </w:p>
    <w:p>
      <w:pPr>
        <w:pStyle w:val="style0"/>
        <w:spacing w:after="0" w:lineRule="auto" w:line="240"/>
        <w:jc w:val="center"/>
        <w:rPr>
          <w:rFonts w:ascii="Arial" w:cs="Arial" w:hAnsi="Arial"/>
          <w:lang w:val="es-MX"/>
        </w:rPr>
      </w:pPr>
      <w:r>
        <w:rPr>
          <w:rFonts w:ascii="Arial" w:cs="Arial" w:hAnsi="Arial"/>
          <w:lang w:val="es-MX"/>
        </w:rPr>
        <w:t>FUENTE: INDICADORES DE DIAGNOSTICO LOCAL, SDP, 2019</w:t>
      </w:r>
    </w:p>
    <w:p>
      <w:pPr>
        <w:pStyle w:val="style0"/>
        <w:spacing w:after="0" w:lineRule="auto" w:line="240"/>
        <w:jc w:val="center"/>
        <w:rPr>
          <w:rFonts w:ascii="Arial" w:cs="Arial" w:hAnsi="Arial"/>
          <w:lang w:val="es-MX"/>
        </w:rPr>
      </w:pPr>
    </w:p>
    <w:p>
      <w:pPr>
        <w:pStyle w:val="style0"/>
        <w:spacing w:after="0" w:lineRule="auto" w:line="240"/>
        <w:jc w:val="both"/>
        <w:rPr>
          <w:rFonts w:ascii="Arial" w:cs="Arial" w:hAnsi="Arial"/>
          <w:lang w:val="es-MX"/>
        </w:rPr>
      </w:pPr>
      <w:r>
        <w:rPr>
          <w:rFonts w:ascii="Arial" w:cs="Arial" w:hAnsi="Arial"/>
          <w:lang w:val="es-MX"/>
        </w:rPr>
        <w:t xml:space="preserve">Por el lado de la malla vial local, La Candelaria tiene el 52% de </w:t>
      </w:r>
      <w:r>
        <w:rPr>
          <w:rFonts w:ascii="Arial" w:cs="Arial" w:hAnsi="Arial"/>
          <w:lang w:val="es-MX"/>
        </w:rPr>
        <w:t>é</w:t>
      </w:r>
      <w:r>
        <w:rPr>
          <w:rFonts w:ascii="Arial" w:cs="Arial" w:hAnsi="Arial"/>
          <w:lang w:val="es-MX"/>
        </w:rPr>
        <w:t>sta en buen estado.</w:t>
      </w:r>
    </w:p>
    <w:p>
      <w:pPr>
        <w:pStyle w:val="style0"/>
        <w:spacing w:after="0" w:lineRule="auto" w:line="240"/>
        <w:jc w:val="both"/>
        <w:rPr>
          <w:rFonts w:ascii="Arial" w:cs="Arial" w:hAnsi="Arial"/>
          <w:lang w:val="es-MX"/>
        </w:rPr>
      </w:pPr>
    </w:p>
    <w:p>
      <w:pPr>
        <w:pStyle w:val="style0"/>
        <w:spacing w:after="0" w:lineRule="auto" w:line="240"/>
        <w:jc w:val="both"/>
        <w:rPr>
          <w:rFonts w:ascii="Arial" w:cs="Arial" w:hAnsi="Arial"/>
          <w:lang w:val="es-MX"/>
        </w:rPr>
      </w:pPr>
    </w:p>
    <w:p>
      <w:pPr>
        <w:pStyle w:val="style0"/>
        <w:spacing w:after="0" w:lineRule="auto" w:line="240"/>
        <w:jc w:val="both"/>
        <w:rPr>
          <w:rFonts w:ascii="Arial" w:cs="Arial" w:hAnsi="Arial"/>
          <w:lang w:val="es-MX"/>
        </w:rPr>
      </w:pPr>
    </w:p>
    <w:p>
      <w:pPr>
        <w:pStyle w:val="style0"/>
        <w:spacing w:after="0" w:lineRule="auto" w:line="240"/>
        <w:jc w:val="both"/>
        <w:rPr>
          <w:rFonts w:ascii="Arial" w:cs="Arial" w:hAnsi="Arial"/>
          <w:lang w:val="es-MX"/>
        </w:rPr>
      </w:pPr>
      <w:r>
        <w:rPr>
          <w:rFonts w:ascii="Arial" w:cs="Arial" w:hAnsi="Arial"/>
          <w:noProof/>
          <w:lang w:eastAsia="es-CO"/>
        </w:rPr>
        <w:drawing>
          <wp:inline distL="0" distT="0" distB="0" distR="0">
            <wp:extent cx="5400675" cy="3158180"/>
            <wp:effectExtent l="0" t="0" r="0" b="4445"/>
            <wp:docPr id="1057" name="Imagen 3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9" name="Imagen 36"/>
                    <pic:cNvPicPr/>
                  </pic:nvPicPr>
                  <pic:blipFill>
                    <a:blip r:embed="rId36" cstate="print"/>
                    <a:srcRect l="27326" t="31999" r="23625" b="16985"/>
                    <a:stretch/>
                  </pic:blipFill>
                  <pic:spPr>
                    <a:xfrm rot="0">
                      <a:off x="0" y="0"/>
                      <a:ext cx="5400675" cy="3158180"/>
                    </a:xfrm>
                    <a:prstGeom prst="rect"/>
                    <a:ln>
                      <a:noFill/>
                    </a:ln>
                  </pic:spPr>
                </pic:pic>
              </a:graphicData>
            </a:graphic>
          </wp:inline>
        </w:drawing>
      </w:r>
    </w:p>
    <w:p>
      <w:pPr>
        <w:pStyle w:val="style0"/>
        <w:spacing w:after="0" w:lineRule="auto" w:line="240"/>
        <w:jc w:val="center"/>
        <w:rPr>
          <w:rFonts w:ascii="Arial" w:cs="Arial" w:hAnsi="Arial"/>
          <w:lang w:val="es-MX"/>
        </w:rPr>
      </w:pPr>
      <w:r>
        <w:rPr>
          <w:rFonts w:ascii="Arial" w:cs="Arial" w:hAnsi="Arial"/>
          <w:lang w:val="es-MX"/>
        </w:rPr>
        <w:t>FUENTE: INDICADORES DE DIAGNOSTICO LOCAL, SDP, 2019</w:t>
      </w:r>
    </w:p>
    <w:p>
      <w:pPr>
        <w:pStyle w:val="style0"/>
        <w:spacing w:after="0" w:lineRule="auto" w:line="240"/>
        <w:jc w:val="center"/>
        <w:rPr>
          <w:rFonts w:ascii="Arial" w:cs="Arial" w:hAnsi="Arial"/>
          <w:lang w:val="es-MX"/>
        </w:rPr>
      </w:pPr>
    </w:p>
    <w:p>
      <w:pPr>
        <w:pStyle w:val="style0"/>
        <w:spacing w:after="0" w:lineRule="auto" w:line="240"/>
        <w:jc w:val="center"/>
        <w:rPr>
          <w:rFonts w:ascii="Arial" w:cs="Arial" w:hAnsi="Arial"/>
          <w:lang w:val="es-MX"/>
        </w:rPr>
      </w:pPr>
    </w:p>
    <w:p>
      <w:pPr>
        <w:pStyle w:val="style0"/>
        <w:spacing w:after="0" w:lineRule="auto" w:line="240"/>
        <w:jc w:val="both"/>
        <w:rPr>
          <w:rFonts w:ascii="Arial" w:cs="Arial" w:hAnsi="Arial"/>
          <w:lang w:val="es-MX"/>
        </w:rPr>
      </w:pPr>
      <w:r>
        <w:rPr>
          <w:rFonts w:ascii="Arial" w:cs="Arial" w:hAnsi="Arial"/>
          <w:lang w:val="es-MX"/>
        </w:rPr>
        <w:t xml:space="preserve">Respecto del espacio púbico peatonal, esta localidad </w:t>
      </w:r>
      <w:r>
        <w:rPr>
          <w:rFonts w:ascii="Arial" w:cs="Arial" w:hAnsi="Arial"/>
          <w:lang w:val="es-MX"/>
        </w:rPr>
        <w:t xml:space="preserve">presenta un buen estado de espacios peatonales, </w:t>
      </w:r>
      <w:r>
        <w:rPr>
          <w:rFonts w:ascii="Arial" w:cs="Arial" w:hAnsi="Arial"/>
          <w:lang w:val="es-MX"/>
        </w:rPr>
        <w:t>ocupando</w:t>
      </w:r>
      <w:r>
        <w:rPr>
          <w:rFonts w:ascii="Arial" w:cs="Arial" w:hAnsi="Arial"/>
          <w:lang w:val="es-MX"/>
        </w:rPr>
        <w:t xml:space="preserve"> el primer puesto a nivel distrital. </w:t>
      </w:r>
    </w:p>
    <w:p>
      <w:pPr>
        <w:pStyle w:val="style0"/>
        <w:spacing w:after="0" w:lineRule="auto" w:line="240"/>
        <w:jc w:val="both"/>
        <w:rPr>
          <w:rFonts w:ascii="Arial" w:cs="Arial" w:hAnsi="Arial"/>
          <w:lang w:val="es-MX"/>
        </w:rPr>
      </w:pPr>
      <w:r>
        <w:rPr>
          <w:rFonts w:ascii="Arial" w:cs="Arial" w:hAnsi="Arial"/>
          <w:noProof/>
          <w:lang w:eastAsia="es-CO"/>
        </w:rPr>
        <w:drawing>
          <wp:inline distL="0" distT="0" distB="0" distR="0">
            <wp:extent cx="4895850" cy="3360566"/>
            <wp:effectExtent l="0" t="0" r="0" b="0"/>
            <wp:docPr id="1058" name="Imagen 3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0" name="Imagen 37"/>
                    <pic:cNvPicPr/>
                  </pic:nvPicPr>
                  <pic:blipFill>
                    <a:blip r:embed="rId37" cstate="print"/>
                    <a:srcRect l="27664" t="25055" r="23625" b="15476"/>
                    <a:stretch/>
                  </pic:blipFill>
                  <pic:spPr>
                    <a:xfrm rot="0">
                      <a:off x="0" y="0"/>
                      <a:ext cx="4895850" cy="3360566"/>
                    </a:xfrm>
                    <a:prstGeom prst="rect"/>
                    <a:ln>
                      <a:noFill/>
                    </a:ln>
                  </pic:spPr>
                </pic:pic>
              </a:graphicData>
            </a:graphic>
          </wp:inline>
        </w:drawing>
      </w:r>
    </w:p>
    <w:p>
      <w:pPr>
        <w:pStyle w:val="style0"/>
        <w:spacing w:after="0" w:lineRule="auto" w:line="240"/>
        <w:jc w:val="center"/>
        <w:rPr>
          <w:rFonts w:ascii="Arial" w:cs="Arial" w:hAnsi="Arial"/>
          <w:lang w:val="es-MX"/>
        </w:rPr>
      </w:pPr>
      <w:r>
        <w:rPr>
          <w:rFonts w:ascii="Arial" w:cs="Arial" w:hAnsi="Arial"/>
          <w:lang w:val="es-MX"/>
        </w:rPr>
        <w:t>FUENTE: INDICADORES DE DIAGNOSTICO LOCAL, SDP, 2019</w:t>
      </w:r>
    </w:p>
    <w:p>
      <w:pPr>
        <w:pStyle w:val="style0"/>
        <w:spacing w:after="0" w:lineRule="auto" w:line="240"/>
        <w:jc w:val="both"/>
        <w:rPr>
          <w:rFonts w:ascii="Arial" w:cs="Arial" w:hAnsi="Arial"/>
          <w:lang w:val="es-MX"/>
        </w:rPr>
      </w:pPr>
    </w:p>
    <w:p>
      <w:pPr>
        <w:pStyle w:val="style0"/>
        <w:spacing w:after="0" w:lineRule="auto" w:line="240"/>
        <w:jc w:val="both"/>
        <w:rPr>
          <w:rFonts w:ascii="Arial" w:cs="Arial" w:hAnsi="Arial"/>
          <w:lang w:val="es-MX"/>
        </w:rPr>
      </w:pPr>
    </w:p>
    <w:p>
      <w:pPr>
        <w:pStyle w:val="style0"/>
        <w:spacing w:after="0" w:lineRule="auto" w:line="240"/>
        <w:jc w:val="both"/>
        <w:rPr>
          <w:rFonts w:ascii="Arial" w:cs="Arial" w:hAnsi="Arial"/>
          <w:lang w:val="es-MX"/>
        </w:rPr>
      </w:pPr>
      <w:r>
        <w:rPr>
          <w:rFonts w:ascii="Arial" w:cs="Arial" w:hAnsi="Arial"/>
          <w:lang w:val="es-MX"/>
        </w:rPr>
        <w:t xml:space="preserve">Sobre el uso de la bicicleta, la </w:t>
      </w:r>
      <w:r>
        <w:rPr>
          <w:rFonts w:ascii="Arial" w:cs="Arial" w:hAnsi="Arial"/>
          <w:lang w:val="es-MX"/>
        </w:rPr>
        <w:t>localidad presenta</w:t>
      </w:r>
      <w:r>
        <w:rPr>
          <w:rFonts w:ascii="Arial" w:cs="Arial" w:hAnsi="Arial"/>
          <w:lang w:val="es-MX"/>
        </w:rPr>
        <w:t xml:space="preserve"> un porcentaje alto a nivel distrital de 6,2% personas que van a trabajar en bicicleta. </w:t>
      </w:r>
    </w:p>
    <w:p>
      <w:pPr>
        <w:pStyle w:val="style0"/>
        <w:spacing w:after="0" w:lineRule="auto" w:line="240"/>
        <w:jc w:val="center"/>
        <w:rPr>
          <w:rFonts w:ascii="Arial" w:cs="Arial" w:eastAsia="Times New Roman" w:hAnsi="Arial"/>
          <w:lang w:val="es-MX"/>
        </w:rPr>
      </w:pPr>
      <w:r>
        <w:rPr>
          <w:rFonts w:ascii="Arial" w:cs="Arial" w:hAnsi="Arial"/>
          <w:noProof/>
          <w:lang w:eastAsia="es-CO"/>
        </w:rPr>
        <w:drawing>
          <wp:inline distL="0" distT="0" distB="0" distR="0">
            <wp:extent cx="4819650" cy="2929257"/>
            <wp:effectExtent l="0" t="0" r="0" b="4445"/>
            <wp:docPr id="1059" name="Imagen 3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1" name="Imagen 38"/>
                    <pic:cNvPicPr/>
                  </pic:nvPicPr>
                  <pic:blipFill>
                    <a:blip r:embed="rId38" cstate="print"/>
                    <a:srcRect l="28004" t="30489" r="23965" b="17589"/>
                    <a:stretch/>
                  </pic:blipFill>
                  <pic:spPr>
                    <a:xfrm rot="0">
                      <a:off x="0" y="0"/>
                      <a:ext cx="4819650" cy="2929257"/>
                    </a:xfrm>
                    <a:prstGeom prst="rect"/>
                    <a:ln>
                      <a:noFill/>
                    </a:ln>
                  </pic:spPr>
                </pic:pic>
              </a:graphicData>
            </a:graphic>
          </wp:inline>
        </w:drawing>
      </w:r>
    </w:p>
    <w:p>
      <w:pPr>
        <w:pStyle w:val="style0"/>
        <w:spacing w:after="0" w:lineRule="auto" w:line="240"/>
        <w:jc w:val="center"/>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Así mismo, la localidad </w:t>
      </w:r>
      <w:r>
        <w:rPr>
          <w:rFonts w:ascii="Arial" w:cs="Arial" w:eastAsia="Times New Roman" w:hAnsi="Arial"/>
          <w:lang w:val="es-MX"/>
        </w:rPr>
        <w:t>presenta un alto porcentaje de persona que van a trabajar en transporte no motorizado: a p</w:t>
      </w:r>
      <w:r>
        <w:rPr>
          <w:rFonts w:ascii="Arial" w:cs="Arial" w:eastAsia="Times New Roman" w:hAnsi="Arial"/>
          <w:lang w:val="es-MX"/>
        </w:rPr>
        <w:t>i</w:t>
      </w:r>
      <w:r>
        <w:rPr>
          <w:rFonts w:ascii="Arial" w:cs="Arial" w:eastAsia="Times New Roman" w:hAnsi="Arial"/>
          <w:lang w:val="es-MX"/>
        </w:rPr>
        <w:t>e o bicicleta, ocupando el segundo puesto a nivel distrital.</w:t>
      </w: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r>
        <w:rPr>
          <w:rFonts w:ascii="Arial" w:cs="Arial" w:hAnsi="Arial"/>
          <w:noProof/>
          <w:lang w:eastAsia="es-CO"/>
        </w:rPr>
        <w:drawing>
          <wp:inline distL="0" distT="0" distB="0" distR="0">
            <wp:extent cx="4819650" cy="2988183"/>
            <wp:effectExtent l="0" t="0" r="0" b="3175"/>
            <wp:docPr id="1060" name="Imagen 4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2" name="Imagen 41"/>
                    <pic:cNvPicPr/>
                  </pic:nvPicPr>
                  <pic:blipFill>
                    <a:blip r:embed="rId39" cstate="print"/>
                    <a:srcRect l="25798" t="29584" r="23286" b="14268"/>
                    <a:stretch/>
                  </pic:blipFill>
                  <pic:spPr>
                    <a:xfrm rot="0">
                      <a:off x="0" y="0"/>
                      <a:ext cx="4819650" cy="2988183"/>
                    </a:xfrm>
                    <a:prstGeom prst="rect"/>
                    <a:ln>
                      <a:noFill/>
                    </a:ln>
                  </pic:spPr>
                </pic:pic>
              </a:graphicData>
            </a:graphic>
          </wp:inline>
        </w:drawing>
      </w:r>
    </w:p>
    <w:p>
      <w:pPr>
        <w:pStyle w:val="style0"/>
        <w:spacing w:after="0" w:lineRule="auto" w:line="240"/>
        <w:jc w:val="center"/>
        <w:rPr>
          <w:rFonts w:ascii="Arial" w:cs="Arial" w:eastAsia="Times New Roman" w:hAnsi="Arial"/>
          <w:lang w:val="es-MX"/>
        </w:rPr>
      </w:pPr>
    </w:p>
    <w:p>
      <w:pPr>
        <w:pStyle w:val="style0"/>
        <w:spacing w:after="0" w:lineRule="auto" w:line="240"/>
        <w:jc w:val="center"/>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4"/>
        <w:rPr>
          <w:rFonts w:ascii="Arial" w:cs="Arial" w:eastAsia="Times New Roman" w:hAnsi="Arial"/>
          <w:color w:val="auto"/>
          <w:lang w:val="es-MX"/>
        </w:rPr>
      </w:pPr>
      <w:r>
        <w:rPr>
          <w:rFonts w:ascii="Arial" w:cs="Arial" w:eastAsia="Times New Roman" w:hAnsi="Arial"/>
          <w:color w:val="auto"/>
          <w:lang w:val="es-MX"/>
        </w:rPr>
        <w:t>Parques- Cultura recreación y Deporte.</w:t>
      </w:r>
    </w:p>
    <w:p>
      <w:pPr>
        <w:pStyle w:val="style0"/>
        <w:spacing w:after="0" w:lineRule="auto" w:line="240"/>
        <w:jc w:val="both"/>
        <w:rPr>
          <w:rFonts w:ascii="Arial" w:cs="Arial" w:eastAsia="Times New Roman" w:hAnsi="Arial"/>
          <w:lang w:val="es-MX"/>
        </w:rPr>
      </w:pPr>
      <w:r>
        <w:rPr>
          <w:rFonts w:ascii="Arial" w:cs="Arial" w:eastAsia="Times New Roman" w:hAnsi="Arial"/>
          <w:lang w:val="es-MX"/>
        </w:rPr>
        <w:t>La Candelaria, cuenta con 1.2  metros cuadrados de parques vecinales y</w:t>
      </w:r>
      <w:r>
        <w:rPr>
          <w:rFonts w:ascii="Arial" w:cs="Arial" w:eastAsia="Times New Roman" w:hAnsi="Arial"/>
          <w:lang w:val="es-MX"/>
        </w:rPr>
        <w:t>/</w:t>
      </w:r>
      <w:r>
        <w:rPr>
          <w:rFonts w:ascii="Arial" w:cs="Arial" w:eastAsia="Times New Roman" w:hAnsi="Arial"/>
          <w:lang w:val="es-MX"/>
        </w:rPr>
        <w:t xml:space="preserve">o de bolsillo por persona, siendo uno de los últimos puestos en este indicador a nivel distrital, de ahí la importancia del mantenimiento de los mismo para ofrecer calidad. Además, el 25,1% de las personas visitan los parques mencionados. </w:t>
      </w:r>
    </w:p>
    <w:p>
      <w:pPr>
        <w:pStyle w:val="style0"/>
        <w:spacing w:after="0" w:lineRule="auto" w:line="240"/>
        <w:jc w:val="center"/>
        <w:rPr>
          <w:rFonts w:ascii="Arial" w:cs="Arial" w:eastAsia="Times New Roman" w:hAnsi="Arial"/>
          <w:lang w:val="es-MX"/>
        </w:rPr>
      </w:pPr>
      <w:r>
        <w:rPr>
          <w:rFonts w:ascii="Arial" w:cs="Arial" w:hAnsi="Arial"/>
          <w:noProof/>
          <w:lang w:eastAsia="es-CO"/>
        </w:rPr>
        <w:drawing>
          <wp:inline distL="0" distT="0" distB="0" distR="0">
            <wp:extent cx="2438400" cy="2832231"/>
            <wp:effectExtent l="0" t="0" r="0" b="6350"/>
            <wp:docPr id="1061" name="Imagen 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3" name="Imagen 9"/>
                    <pic:cNvPicPr/>
                  </pic:nvPicPr>
                  <pic:blipFill>
                    <a:blip r:embed="rId40" cstate="print"/>
                    <a:srcRect l="50930" t="15629" r="14408" b="9734"/>
                    <a:stretch/>
                  </pic:blipFill>
                  <pic:spPr>
                    <a:xfrm rot="0">
                      <a:off x="0" y="0"/>
                      <a:ext cx="2438400" cy="2832231"/>
                    </a:xfrm>
                    <a:prstGeom prst="rect"/>
                    <a:ln>
                      <a:noFill/>
                    </a:ln>
                  </pic:spPr>
                </pic:pic>
              </a:graphicData>
            </a:graphic>
          </wp:inline>
        </w:drawing>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bookmarkStart w:id="27" w:name="_Toc42461551"/>
    <w:p>
      <w:pPr>
        <w:pStyle w:val="style3"/>
        <w:rPr>
          <w:rFonts w:ascii="Arial" w:cs="Arial" w:eastAsia="Times New Roman" w:hAnsi="Arial"/>
          <w:color w:val="auto"/>
          <w:sz w:val="22"/>
          <w:szCs w:val="22"/>
          <w:lang w:val="es-MX"/>
        </w:rPr>
      </w:pPr>
    </w:p>
    <w:p>
      <w:pPr>
        <w:pStyle w:val="style3"/>
        <w:rPr>
          <w:rFonts w:ascii="Arial" w:cs="Arial" w:eastAsia="Times New Roman" w:hAnsi="Arial"/>
          <w:color w:val="auto"/>
          <w:sz w:val="22"/>
          <w:szCs w:val="22"/>
          <w:lang w:val="es-MX"/>
        </w:rPr>
      </w:pPr>
      <w:r>
        <w:rPr>
          <w:rFonts w:ascii="Arial" w:cs="Arial" w:eastAsia="Times New Roman" w:hAnsi="Arial"/>
          <w:color w:val="auto"/>
          <w:sz w:val="22"/>
          <w:szCs w:val="22"/>
          <w:lang w:val="es-MX"/>
        </w:rPr>
        <w:t>INVERSIONES AMBIENTALES SOSTENIBLES</w:t>
      </w:r>
      <w:bookmarkEnd w:id="27"/>
    </w:p>
    <w:p>
      <w:pPr>
        <w:pStyle w:val="style0"/>
        <w:rPr>
          <w:lang w:val="es-MX"/>
        </w:rPr>
      </w:pPr>
    </w:p>
    <w:p>
      <w:pPr>
        <w:pStyle w:val="style0"/>
        <w:spacing w:after="0" w:lineRule="auto" w:line="240"/>
        <w:jc w:val="both"/>
        <w:rPr>
          <w:rFonts w:ascii="Arial" w:cs="Arial" w:eastAsia="Times New Roman" w:hAnsi="Arial"/>
          <w:lang w:val="es-MX"/>
        </w:rPr>
      </w:pPr>
      <w:r>
        <w:rPr>
          <w:rStyle w:val="style4099"/>
          <w:lang w:val="es-MX"/>
        </w:rPr>
        <w:t>La Candelaria no cuenta con elementos del Sistema de Áreas Protegidas (SAP). Los</w:t>
      </w:r>
      <w:r>
        <w:rPr>
          <w:rFonts w:ascii="Arial" w:cs="Arial" w:hAnsi="Arial"/>
          <w:lang w:val="es-MX"/>
        </w:rPr>
        <w:br/>
      </w:r>
      <w:r>
        <w:rPr>
          <w:rStyle w:val="style4099"/>
          <w:lang w:val="es-MX"/>
        </w:rPr>
        <w:t>corredores ecológicos representan el 91,2%, y un único parque urbano de escala zonal, el</w:t>
      </w:r>
      <w:r>
        <w:rPr>
          <w:rFonts w:ascii="Arial" w:cs="Arial" w:hAnsi="Arial"/>
          <w:lang w:val="es-MX"/>
        </w:rPr>
        <w:br/>
      </w:r>
      <w:r>
        <w:rPr>
          <w:rStyle w:val="style4099"/>
          <w:lang w:val="es-MX"/>
        </w:rPr>
        <w:t>8,8% del área de la EEP de esta localidad.</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hAnsi="Arial"/>
          <w:noProof/>
          <w:lang w:eastAsia="es-CO"/>
        </w:rPr>
        <w:drawing>
          <wp:inline distL="0" distT="0" distB="0" distR="0">
            <wp:extent cx="5763260" cy="3482939"/>
            <wp:effectExtent l="0" t="0" r="0" b="3810"/>
            <wp:docPr id="1062" name="Imagen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4" name="Imagen 8"/>
                    <pic:cNvPicPr/>
                  </pic:nvPicPr>
                  <pic:blipFill>
                    <a:blip r:embed="rId41" cstate="print"/>
                    <a:srcRect l="8606" t="15628" r="8465" b="5230"/>
                    <a:stretch/>
                  </pic:blipFill>
                  <pic:spPr>
                    <a:xfrm rot="0">
                      <a:off x="0" y="0"/>
                      <a:ext cx="5763260" cy="3482939"/>
                    </a:xfrm>
                    <a:prstGeom prst="rect"/>
                    <a:ln>
                      <a:noFill/>
                    </a:ln>
                  </pic:spPr>
                </pic:pic>
              </a:graphicData>
            </a:graphic>
          </wp:inline>
        </w:drawing>
      </w:r>
    </w:p>
    <w:p>
      <w:pPr>
        <w:pStyle w:val="style0"/>
        <w:spacing w:after="0" w:lineRule="auto" w:line="240"/>
        <w:jc w:val="both"/>
        <w:rPr>
          <w:rFonts w:ascii="Arial" w:cs="Arial" w:eastAsia="Times New Roman" w:hAnsi="Arial"/>
          <w:lang w:val="es-MX"/>
        </w:rPr>
      </w:pPr>
    </w:p>
    <w:p>
      <w:pPr>
        <w:pStyle w:val="style0"/>
        <w:spacing w:after="0" w:lineRule="auto" w:line="240"/>
        <w:jc w:val="center"/>
        <w:rPr>
          <w:rFonts w:ascii="Arial" w:cs="Arial" w:hAnsi="Arial"/>
        </w:rPr>
      </w:pPr>
      <w:r>
        <w:rPr>
          <w:rFonts w:ascii="Arial" w:cs="Arial" w:eastAsia="Times New Roman" w:hAnsi="Arial"/>
          <w:lang w:val="es-MX"/>
        </w:rPr>
        <w:t xml:space="preserve">FUENTE: </w:t>
      </w:r>
      <w:r>
        <w:rPr>
          <w:rFonts w:ascii="Arial" w:cs="Arial" w:hAnsi="Arial"/>
        </w:rPr>
        <w:t>REVISIÓN GENERAL PLAN DE ORDENAMIENTO TERRITORIAL, 2019.</w:t>
      </w:r>
    </w:p>
    <w:p>
      <w:pPr>
        <w:pStyle w:val="style0"/>
        <w:spacing w:after="0" w:lineRule="auto" w:line="240"/>
        <w:jc w:val="both"/>
        <w:rPr>
          <w:rFonts w:ascii="Arial" w:cs="Arial" w:hAnsi="Arial"/>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El problema y la necesidad local se circunscribe en los siguientes ítems que se justifican a partir de los antecedentes que a continuación se mencionan: </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Ausencia de mantenimiento correspondiente a arbolado de porte bajo, lo que genera vectores ambientales y olores ofensivos promoviendo el deterioro ambiental y patrimonial, ocasionando puntos críticos, sanitarios, y de acumulación por parte de habitantes de calle, residentes y población flotante. Lo anterior se presenta, pese al comportamiento medio de número de árboles per cápita: 0.3. </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hAnsi="Arial"/>
          <w:noProof/>
          <w:lang w:eastAsia="es-CO"/>
        </w:rPr>
        <w:drawing>
          <wp:inline distL="0" distT="0" distB="0" distR="0">
            <wp:extent cx="5067300" cy="3030279"/>
            <wp:effectExtent l="0" t="0" r="0" b="0"/>
            <wp:docPr id="1063" name="Imagen 3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5" name="Imagen 39"/>
                    <pic:cNvPicPr/>
                  </pic:nvPicPr>
                  <pic:blipFill>
                    <a:blip r:embed="rId42" cstate="print"/>
                    <a:srcRect l="26307" t="32602" r="22607" b="13061"/>
                    <a:stretch/>
                  </pic:blipFill>
                  <pic:spPr>
                    <a:xfrm rot="0">
                      <a:off x="0" y="0"/>
                      <a:ext cx="5067300" cy="3030279"/>
                    </a:xfrm>
                    <a:prstGeom prst="rect"/>
                    <a:ln>
                      <a:noFill/>
                    </a:ln>
                  </pic:spPr>
                </pic:pic>
              </a:graphicData>
            </a:graphic>
          </wp:inline>
        </w:drawing>
      </w:r>
    </w:p>
    <w:p>
      <w:pPr>
        <w:pStyle w:val="style0"/>
        <w:spacing w:after="0" w:lineRule="auto" w:line="240"/>
        <w:jc w:val="center"/>
        <w:rPr>
          <w:rFonts w:ascii="Arial" w:cs="Arial" w:hAnsi="Arial"/>
          <w:lang w:val="es-MX"/>
        </w:rPr>
      </w:pPr>
      <w:r>
        <w:rPr>
          <w:rFonts w:ascii="Arial" w:cs="Arial" w:hAnsi="Arial"/>
          <w:lang w:val="es-MX"/>
        </w:rPr>
        <w:t>FUENTE: INDICADORES DE DIAGNOSTICO LOCAL, SDP, 2019</w:t>
      </w:r>
    </w:p>
    <w:p>
      <w:pPr>
        <w:pStyle w:val="style0"/>
        <w:spacing w:after="0" w:lineRule="auto" w:line="240"/>
        <w:jc w:val="center"/>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La localidad es de carácter turístico, patrimonial y cultural, por lo cual se debe incentivar a turistas, población flotante, y residentes en la protección y cuidado de los espacios verdes, para ello se propone embellecimiento con jardinería y/o paisajismo. Las actividades son importantes por lo siguiente:</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 xml:space="preserve">La orientación del paisaje urbano y en particular de los espacios verdes hacia una multifuncionalidad de marcado carácter ambiental no significa en absoluto abandonar la tradicional función estética y embellecedora del verde urbano, sino hacerla compatible con los principios de la sostenibilidad urbana en donde de forma paralela se interviene lugares que pasan desapercibidos y generan nuevos aspectos de impacto y apropiación. Pues es posible afirmar que ¿la arquitectura del verde en la construcción del paisaje moderno de la ciudad viene a reivindicar, en última instancia, la categoría de la belleza como elemento mediador de la utilidad (Fernández: 1992:94) </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La orientación del paisaje urbano y en particular de los espacios verdes hacia una multifuncionalidad de marcado carácter ambiental no significa en absoluto abandonar la tradicional función estética y embellecedora del verde urbano, sino hacerla compatible con los principios de la sostenibilidad urbana en donde de forma paralela se interviene lugares que pasan desapercibidos y generan nuevos aspectos de impacto y apropiación. Pues es posible afirmar que ¿la arquitectura del verde en la construcción del paisaje moderno de la ciudad viene a reivindicar, en última instancia, la categoría de la belleza como elemento mediador de la utilidad.</w:t>
      </w:r>
    </w:p>
    <w:p>
      <w:pPr>
        <w:pStyle w:val="style0"/>
        <w:jc w:val="both"/>
        <w:rPr>
          <w:rStyle w:val="style4099"/>
          <w:lang w:val="es-MX"/>
        </w:rPr>
      </w:pPr>
    </w:p>
    <w:p>
      <w:pPr>
        <w:pStyle w:val="style0"/>
        <w:jc w:val="both"/>
        <w:rPr>
          <w:rStyle w:val="style4099"/>
          <w:lang w:val="es-MX"/>
        </w:rPr>
      </w:pPr>
      <w:r>
        <w:rPr>
          <w:rStyle w:val="style4099"/>
          <w:lang w:val="es-MX"/>
        </w:rPr>
        <w:t>Este tipo puede localizarse en suelo rural, urbano o de expansión indistintamente, y se</w:t>
      </w:r>
      <w:r>
        <w:rPr>
          <w:rFonts w:ascii="Arial" w:cs="Arial" w:hAnsi="Arial"/>
          <w:lang w:val="es-MX"/>
        </w:rPr>
        <w:br/>
      </w:r>
      <w:r>
        <w:rPr>
          <w:rStyle w:val="style4099"/>
          <w:lang w:val="es-MX"/>
        </w:rPr>
        <w:t>caracteriza por tener restringida la posibilidad de urbanizarse en razón a que se trata de</w:t>
      </w:r>
      <w:r>
        <w:rPr>
          <w:rFonts w:ascii="Arial" w:cs="Arial" w:hAnsi="Arial"/>
          <w:lang w:val="es-MX"/>
        </w:rPr>
        <w:br/>
      </w:r>
      <w:r>
        <w:rPr>
          <w:rStyle w:val="style4099"/>
          <w:lang w:val="es-MX"/>
        </w:rPr>
        <w:t>áreas en alguna de las siguientes situaciones:</w:t>
      </w:r>
    </w:p>
    <w:p>
      <w:pPr>
        <w:pStyle w:val="style179"/>
        <w:numPr>
          <w:ilvl w:val="0"/>
          <w:numId w:val="2"/>
        </w:numPr>
        <w:jc w:val="both"/>
        <w:rPr>
          <w:rStyle w:val="style4099"/>
          <w:lang w:val="es-MX"/>
        </w:rPr>
      </w:pPr>
      <w:r>
        <w:rPr>
          <w:rStyle w:val="style4099"/>
          <w:lang w:val="es-MX"/>
        </w:rPr>
        <w:t>Con características geográficas, paisajísticas o ambientales especiales.</w:t>
      </w:r>
    </w:p>
    <w:p>
      <w:pPr>
        <w:pStyle w:val="style179"/>
        <w:numPr>
          <w:ilvl w:val="0"/>
          <w:numId w:val="2"/>
        </w:numPr>
        <w:jc w:val="both"/>
        <w:rPr>
          <w:rStyle w:val="style4099"/>
          <w:lang w:val="es-MX"/>
        </w:rPr>
      </w:pPr>
      <w:r>
        <w:rPr>
          <w:rStyle w:val="style4099"/>
          <w:lang w:val="es-MX"/>
        </w:rPr>
        <w:t>De utilidad pública para la ubicación de infraestructuras para la provisión de servicios</w:t>
      </w:r>
      <w:r>
        <w:rPr>
          <w:rStyle w:val="style4099"/>
          <w:lang w:val="es-MX"/>
        </w:rPr>
        <w:br/>
      </w:r>
      <w:r>
        <w:rPr>
          <w:rStyle w:val="style4099"/>
          <w:lang w:val="es-MX"/>
        </w:rPr>
        <w:t>públicos domiciliarios.</w:t>
      </w:r>
    </w:p>
    <w:p>
      <w:pPr>
        <w:pStyle w:val="style179"/>
        <w:numPr>
          <w:ilvl w:val="0"/>
          <w:numId w:val="2"/>
        </w:numPr>
        <w:jc w:val="both"/>
        <w:rPr>
          <w:rStyle w:val="style4099"/>
          <w:lang w:val="es-MX"/>
        </w:rPr>
      </w:pPr>
      <w:r>
        <w:rPr>
          <w:rStyle w:val="style4099"/>
          <w:lang w:val="es-MX"/>
        </w:rPr>
        <w:t>De amenazas y riesgo no mitigable para la localización de asentamientos humanos.</w:t>
      </w:r>
      <w:r>
        <w:rPr>
          <w:rStyle w:val="style4099"/>
          <w:lang w:val="es-MX"/>
        </w:rPr>
        <w:br/>
      </w:r>
    </w:p>
    <w:p>
      <w:pPr>
        <w:pStyle w:val="style0"/>
        <w:jc w:val="both"/>
        <w:rPr>
          <w:rStyle w:val="style4099"/>
          <w:lang w:val="es-MX"/>
        </w:rPr>
      </w:pPr>
      <w:r>
        <w:rPr>
          <w:rStyle w:val="style4099"/>
          <w:lang w:val="es-MX"/>
        </w:rPr>
        <w:t>Las características especiales refieren a patrimonio natural a conservar, la provisión de</w:t>
      </w:r>
      <w:r>
        <w:rPr>
          <w:rFonts w:ascii="Arial" w:cs="Arial" w:hAnsi="Arial"/>
          <w:lang w:val="es-MX"/>
        </w:rPr>
        <w:br/>
      </w:r>
      <w:r>
        <w:rPr>
          <w:rStyle w:val="style4099"/>
          <w:lang w:val="es-MX"/>
        </w:rPr>
        <w:t>servicios refiere a la atención de la población en términos de la disponibilidad de recursos,</w:t>
      </w:r>
      <w:r>
        <w:rPr>
          <w:rFonts w:ascii="Arial" w:cs="Arial" w:hAnsi="Arial"/>
          <w:lang w:val="es-MX"/>
        </w:rPr>
        <w:br/>
      </w:r>
      <w:r>
        <w:rPr>
          <w:rStyle w:val="style4099"/>
          <w:lang w:val="es-MX"/>
        </w:rPr>
        <w:t xml:space="preserve">y las amenazas y riesgos nos remiten a las limitaciones de sostenibilidad del territorio. </w:t>
      </w:r>
    </w:p>
    <w:p>
      <w:pPr>
        <w:pStyle w:val="style0"/>
        <w:jc w:val="both"/>
        <w:rPr>
          <w:rFonts w:ascii="Arial" w:cs="Arial" w:hAnsi="Arial"/>
          <w:b/>
          <w:lang w:val="es-MX"/>
        </w:rPr>
      </w:pPr>
      <w:r>
        <w:rPr>
          <w:rStyle w:val="style4099"/>
          <w:b/>
          <w:lang w:val="es-MX"/>
        </w:rPr>
        <w:t>Estructura Ecológica Principal</w:t>
      </w:r>
    </w:p>
    <w:p>
      <w:pPr>
        <w:pStyle w:val="style0"/>
        <w:jc w:val="both"/>
        <w:rPr>
          <w:rFonts w:ascii="Arial" w:cs="Arial" w:hAnsi="Arial"/>
          <w:lang w:val="es-MX"/>
        </w:rPr>
      </w:pPr>
      <w:r>
        <w:rPr>
          <w:rStyle w:val="style4099"/>
          <w:lang w:val="es-MX"/>
        </w:rPr>
        <w:t>La participación porcentual de la EEP en el área del Distrito y de cada localidad, se presenta</w:t>
      </w:r>
      <w:r>
        <w:rPr>
          <w:rFonts w:ascii="Arial" w:cs="Arial" w:hAnsi="Arial"/>
          <w:lang w:val="es-MX"/>
        </w:rPr>
        <w:br/>
      </w:r>
      <w:r>
        <w:rPr>
          <w:rStyle w:val="style4099"/>
          <w:lang w:val="es-MX"/>
        </w:rPr>
        <w:t>en el siguiente cuadro</w:t>
      </w:r>
    </w:p>
    <w:tbl>
      <w:tblPr>
        <w:tblpPr w:leftFromText="180" w:rightFromText="180" w:topFromText="0" w:bottomFromText="0" w:vertAnchor="text" w:horzAnchor="margin" w:tblpXSpec="center" w:tblpY="63"/>
        <w:tblW w:w="7321" w:type="dxa"/>
        <w:tblLook w:val="04A0" w:firstRow="1" w:lastRow="0" w:firstColumn="1" w:lastColumn="0" w:noHBand="0" w:noVBand="1"/>
      </w:tblPr>
      <w:tblGrid>
        <w:gridCol w:w="1795"/>
        <w:gridCol w:w="1857"/>
        <w:gridCol w:w="1909"/>
        <w:gridCol w:w="1760"/>
      </w:tblGrid>
      <w:tr>
        <w:trPr>
          <w:trHeight w:val="300" w:hRule="atLeast"/>
        </w:trPr>
        <w:tc>
          <w:tcPr>
            <w:tcW w:w="7321" w:type="dxa"/>
            <w:gridSpan w:val="4"/>
            <w:tcBorders>
              <w:top w:val="single" w:sz="4" w:space="0" w:color="auto"/>
              <w:left w:val="single" w:sz="4" w:space="0" w:color="auto"/>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b/>
                <w:bCs/>
              </w:rPr>
            </w:pPr>
            <w:r>
              <w:rPr>
                <w:rFonts w:ascii="Arial" w:cs="Arial" w:eastAsia="Times New Roman" w:hAnsi="Arial"/>
                <w:b/>
                <w:bCs/>
              </w:rPr>
              <w:t>E</w:t>
            </w:r>
            <w:r>
              <w:rPr>
                <w:rFonts w:ascii="Arial" w:cs="Arial" w:eastAsia="Times New Roman" w:hAnsi="Arial"/>
                <w:b/>
                <w:bCs/>
              </w:rPr>
              <w:t xml:space="preserve">structura Ecologica Principal. </w:t>
            </w:r>
          </w:p>
        </w:tc>
      </w:tr>
      <w:tr>
        <w:tblPrEx/>
        <w:trPr>
          <w:trHeight w:val="300" w:hRule="atLeast"/>
        </w:trPr>
        <w:tc>
          <w:tcPr>
            <w:tcW w:w="1795" w:type="dxa"/>
            <w:tcBorders>
              <w:top w:val="nil"/>
              <w:left w:val="single" w:sz="4" w:space="0" w:color="auto"/>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xml:space="preserve">Localidad </w:t>
            </w:r>
          </w:p>
        </w:tc>
        <w:tc>
          <w:tcPr>
            <w:tcW w:w="1857" w:type="dxa"/>
            <w:tcBorders>
              <w:top w:val="nil"/>
              <w:left w:val="nil"/>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Area total (ha)</w:t>
            </w:r>
          </w:p>
        </w:tc>
        <w:tc>
          <w:tcPr>
            <w:tcW w:w="1909" w:type="dxa"/>
            <w:tcBorders>
              <w:top w:val="nil"/>
              <w:left w:val="nil"/>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xml:space="preserve"> % de Area EEP</w:t>
            </w:r>
          </w:p>
        </w:tc>
        <w:tc>
          <w:tcPr>
            <w:tcW w:w="1760" w:type="dxa"/>
            <w:tcBorders>
              <w:top w:val="nil"/>
              <w:left w:val="nil"/>
              <w:bottom w:val="single" w:sz="4" w:space="0" w:color="auto"/>
              <w:right w:val="single" w:sz="4" w:space="0" w:color="auto"/>
            </w:tcBorders>
            <w:shd w:val="clear" w:color="000000" w:fill="c00000"/>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Area EEP (Ha)</w:t>
            </w:r>
          </w:p>
        </w:tc>
      </w:tr>
      <w:tr>
        <w:tblPrEx/>
        <w:trPr>
          <w:trHeight w:val="300" w:hRule="atLeast"/>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 xml:space="preserve">Candelaria </w:t>
            </w:r>
          </w:p>
        </w:tc>
        <w:tc>
          <w:tcPr>
            <w:tcW w:w="1857"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206</w:t>
            </w:r>
          </w:p>
        </w:tc>
        <w:tc>
          <w:tcPr>
            <w:tcW w:w="1909"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2,9%</w:t>
            </w:r>
          </w:p>
        </w:tc>
        <w:tc>
          <w:tcPr>
            <w:tcW w:w="1760"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6,1</w:t>
            </w:r>
          </w:p>
        </w:tc>
      </w:tr>
      <w:tr>
        <w:tblPrEx/>
        <w:trPr>
          <w:trHeight w:val="300" w:hRule="atLeast"/>
        </w:trPr>
        <w:tc>
          <w:tcPr>
            <w:tcW w:w="1795" w:type="dxa"/>
            <w:tcBorders>
              <w:top w:val="nil"/>
              <w:left w:val="single" w:sz="4" w:space="0" w:color="auto"/>
              <w:bottom w:val="single" w:sz="4" w:space="0" w:color="auto"/>
              <w:right w:val="single" w:sz="4" w:space="0" w:color="auto"/>
            </w:tcBorders>
            <w:shd w:val="clear" w:color="auto" w:fill="auto"/>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 xml:space="preserve">Total Bogota </w:t>
            </w:r>
          </w:p>
        </w:tc>
        <w:tc>
          <w:tcPr>
            <w:tcW w:w="1857" w:type="dxa"/>
            <w:tcBorders>
              <w:top w:val="nil"/>
              <w:left w:val="nil"/>
              <w:bottom w:val="single" w:sz="4" w:space="0" w:color="auto"/>
              <w:right w:val="single" w:sz="4" w:space="0" w:color="auto"/>
            </w:tcBorders>
            <w:shd w:val="clear" w:color="auto" w:fill="auto"/>
            <w:noWrap/>
            <w:vAlign w:val="bottom"/>
            <w:hideMark/>
          </w:tcPr>
          <w:p>
            <w:pPr>
              <w:pStyle w:val="style0"/>
              <w:spacing w:after="0" w:lineRule="auto" w:line="240"/>
              <w:jc w:val="both"/>
              <w:rPr>
                <w:rFonts w:ascii="Arial" w:cs="Arial" w:eastAsia="Times New Roman" w:hAnsi="Arial"/>
              </w:rPr>
            </w:pPr>
            <w:r>
              <w:rPr>
                <w:rFonts w:ascii="Arial" w:cs="Arial" w:eastAsia="Times New Roman" w:hAnsi="Arial"/>
              </w:rPr>
              <w:t>163.635</w:t>
            </w:r>
          </w:p>
        </w:tc>
        <w:tc>
          <w:tcPr>
            <w:tcW w:w="1909"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 </w:t>
            </w:r>
          </w:p>
        </w:tc>
        <w:tc>
          <w:tcPr>
            <w:tcW w:w="1760" w:type="dxa"/>
            <w:tcBorders>
              <w:top w:val="nil"/>
              <w:left w:val="nil"/>
              <w:bottom w:val="single" w:sz="4" w:space="0" w:color="auto"/>
              <w:right w:val="single" w:sz="4" w:space="0" w:color="auto"/>
            </w:tcBorders>
            <w:shd w:val="clear" w:color="auto" w:fill="auto"/>
            <w:noWrap/>
            <w:vAlign w:val="center"/>
            <w:hideMark/>
          </w:tcPr>
          <w:p>
            <w:pPr>
              <w:pStyle w:val="style0"/>
              <w:spacing w:after="0" w:lineRule="auto" w:line="240"/>
              <w:jc w:val="both"/>
              <w:rPr>
                <w:rFonts w:ascii="Arial" w:cs="Arial" w:eastAsia="Times New Roman" w:hAnsi="Arial"/>
              </w:rPr>
            </w:pPr>
            <w:r>
              <w:rPr>
                <w:rFonts w:ascii="Arial" w:cs="Arial" w:eastAsia="Times New Roman" w:hAnsi="Arial"/>
              </w:rPr>
              <w:t>95.967</w:t>
            </w:r>
          </w:p>
        </w:tc>
      </w:tr>
    </w:tbl>
    <w:p>
      <w:pPr>
        <w:pStyle w:val="style0"/>
        <w:jc w:val="both"/>
        <w:rPr>
          <w:rFonts w:ascii="Arial" w:cs="Arial" w:hAnsi="Arial"/>
          <w:lang w:val="es-MX"/>
        </w:rPr>
      </w:pPr>
    </w:p>
    <w:p>
      <w:pPr>
        <w:pStyle w:val="style0"/>
        <w:jc w:val="both"/>
        <w:rPr>
          <w:rFonts w:ascii="Arial" w:cs="Arial" w:hAnsi="Arial"/>
          <w:lang w:val="es-MX"/>
        </w:rPr>
      </w:pPr>
    </w:p>
    <w:p>
      <w:pPr>
        <w:pStyle w:val="style0"/>
        <w:jc w:val="both"/>
        <w:rPr>
          <w:rFonts w:ascii="Arial" w:cs="Arial" w:hAnsi="Arial"/>
          <w:lang w:val="es-MX"/>
        </w:rPr>
      </w:pPr>
    </w:p>
    <w:p>
      <w:pPr>
        <w:pStyle w:val="style29"/>
        <w:jc w:val="center"/>
        <w:rPr>
          <w:rFonts w:ascii="Arial" w:cs="Arial" w:hAnsi="Arial"/>
          <w:sz w:val="22"/>
          <w:szCs w:val="22"/>
          <w:lang w:val="en-US"/>
        </w:rPr>
      </w:pPr>
      <w:r>
        <w:rPr>
          <w:rFonts w:ascii="Arial" w:cs="Arial" w:hAnsi="Arial"/>
          <w:sz w:val="22"/>
          <w:szCs w:val="22"/>
        </w:rPr>
        <w:t>SECRETARÍA DISTRITAL DE PLANEACIÓN, SEPTIEMBRE DE 2018.</w:t>
      </w:r>
    </w:p>
    <w:p>
      <w:pPr>
        <w:pStyle w:val="style0"/>
        <w:jc w:val="center"/>
        <w:rPr>
          <w:rFonts w:ascii="Arial" w:cs="Arial" w:hAnsi="Arial"/>
          <w:lang w:val="es-MX"/>
        </w:rPr>
      </w:pPr>
    </w:p>
    <w:p>
      <w:pPr>
        <w:pStyle w:val="style0"/>
        <w:jc w:val="both"/>
        <w:rPr>
          <w:rFonts w:ascii="Arial" w:cs="Arial" w:hAnsi="Arial"/>
          <w:lang w:val="es-MX"/>
        </w:rPr>
      </w:pPr>
      <w:r>
        <w:rPr>
          <w:rFonts w:ascii="Arial" w:cs="Arial" w:hAnsi="Arial"/>
          <w:lang w:val="es-MX"/>
        </w:rPr>
        <w:t xml:space="preserve">Respecto de los puntos críticos de residuos sólidos, la localidad presenta un comportamiento bajo. </w:t>
      </w:r>
    </w:p>
    <w:p>
      <w:pPr>
        <w:pStyle w:val="style0"/>
        <w:jc w:val="center"/>
        <w:rPr>
          <w:rFonts w:ascii="Arial" w:cs="Arial" w:hAnsi="Arial"/>
          <w:lang w:val="es-MX"/>
        </w:rPr>
      </w:pPr>
      <w:r>
        <w:rPr>
          <w:rFonts w:ascii="Arial" w:cs="Arial" w:hAnsi="Arial"/>
          <w:noProof/>
          <w:lang w:eastAsia="es-CO"/>
        </w:rPr>
        <w:drawing>
          <wp:inline distL="0" distT="0" distB="0" distR="0">
            <wp:extent cx="4867275" cy="2795793"/>
            <wp:effectExtent l="0" t="0" r="0" b="5080"/>
            <wp:docPr id="1064" name="Imagen 4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6" name="Imagen 40"/>
                    <pic:cNvPicPr/>
                  </pic:nvPicPr>
                  <pic:blipFill>
                    <a:blip r:embed="rId43" cstate="print"/>
                    <a:srcRect l="26647" t="34112" r="22947" b="14389"/>
                    <a:stretch/>
                  </pic:blipFill>
                  <pic:spPr>
                    <a:xfrm rot="0">
                      <a:off x="0" y="0"/>
                      <a:ext cx="4867275" cy="2795793"/>
                    </a:xfrm>
                    <a:prstGeom prst="rect"/>
                    <a:ln>
                      <a:noFill/>
                    </a:ln>
                  </pic:spPr>
                </pic:pic>
              </a:graphicData>
            </a:graphic>
          </wp:inline>
        </w:drawing>
      </w:r>
    </w:p>
    <w:p>
      <w:pPr>
        <w:pStyle w:val="style0"/>
        <w:rPr/>
      </w:pPr>
    </w:p>
    <w:p>
      <w:pPr>
        <w:pStyle w:val="style0"/>
        <w:rPr/>
      </w:pPr>
    </w:p>
    <w:p>
      <w:pPr>
        <w:pStyle w:val="style0"/>
        <w:rPr/>
      </w:pPr>
    </w:p>
    <w:p>
      <w:pPr>
        <w:pStyle w:val="style0"/>
        <w:rPr>
          <w:rFonts w:ascii="Arial" w:cs="Arial" w:hAnsi="Arial"/>
          <w:b/>
          <w:bCs/>
        </w:rPr>
      </w:pPr>
      <w:r>
        <w:rPr>
          <w:rFonts w:ascii="Arial" w:cs="Arial" w:hAnsi="Arial"/>
          <w:b/>
          <w:bCs/>
        </w:rPr>
        <w:t>Agricultura Local</w:t>
      </w:r>
    </w:p>
    <w:p>
      <w:pPr>
        <w:pStyle w:val="style0"/>
        <w:jc w:val="both"/>
        <w:rPr>
          <w:rFonts w:ascii="Arial" w:cs="Arial" w:hAnsi="Arial"/>
        </w:rPr>
      </w:pPr>
      <w:r>
        <w:rPr>
          <w:rFonts w:ascii="Arial" w:cs="Arial" w:hAnsi="Arial"/>
        </w:rPr>
        <w:t>Hombres, mujeres, niños, adultos mayores y personas en condición de discapacidad, residentes en la localidad de la Candelaria siembran en materiales reciclables como: llantas, botellas plásticas, recipientes, y cajas de madera, entre otros, batavia, espinacas y acelgas.</w:t>
      </w:r>
    </w:p>
    <w:p>
      <w:pPr>
        <w:pStyle w:val="style0"/>
        <w:jc w:val="both"/>
        <w:rPr>
          <w:rFonts w:ascii="Arial" w:cs="Arial" w:hAnsi="Arial"/>
        </w:rPr>
      </w:pPr>
      <w:r>
        <w:rPr>
          <w:rFonts w:ascii="Arial" w:cs="Arial" w:hAnsi="Arial"/>
        </w:rPr>
        <w:t>Además, cultivan lechuga morada, crespa y romana, orellanas y quinua (cereal ancestral). Una de las novedades del proyecto, es la Lombricultura que se usa como abono orgánico para las plantas y la tierra.</w:t>
      </w:r>
    </w:p>
    <w:p>
      <w:pPr>
        <w:pStyle w:val="style0"/>
        <w:jc w:val="both"/>
        <w:rPr>
          <w:rFonts w:ascii="Arial" w:cs="Arial" w:hAnsi="Arial"/>
        </w:rPr>
      </w:pPr>
      <w:r>
        <w:rPr>
          <w:rFonts w:ascii="Arial" w:cs="Arial" w:hAnsi="Arial"/>
        </w:rPr>
        <w:t>En la Localidad de La Candelaria, se ha creado este espacio para que sus habitantes reciban formación y conozcan la técnica en el manejo de cultivos, hortalizas y huertas con materiales reciclables, en procura de conservar el ambiente y generar habilidades con sostenimiento ambiental.</w:t>
      </w:r>
    </w:p>
    <w:p>
      <w:pPr>
        <w:pStyle w:val="style0"/>
        <w:jc w:val="both"/>
        <w:rPr>
          <w:rFonts w:ascii="Arial" w:cs="Arial" w:hAnsi="Arial"/>
        </w:rPr>
      </w:pPr>
      <w:r>
        <w:rPr>
          <w:rFonts w:ascii="Arial" w:cs="Arial" w:hAnsi="Arial"/>
        </w:rPr>
        <w:t>Con este proyecto de agricultura urbana, se busca, también, que a través la agricultura los residentes descubra</w:t>
      </w:r>
      <w:r>
        <w:rPr>
          <w:rFonts w:ascii="Arial" w:cs="Arial" w:hAnsi="Arial"/>
        </w:rPr>
        <w:t>n</w:t>
      </w:r>
      <w:r>
        <w:rPr>
          <w:rFonts w:ascii="Arial" w:cs="Arial" w:hAnsi="Arial"/>
        </w:rPr>
        <w:t xml:space="preserve"> sus raíces culturales, conozcan las técnicas de cultivos y formas de comercialización, prácticas que permitirán conocer a fondo las tradiciones de la gente mediante la alimentación, liderazgo, desarrollo humano y economía popular.</w:t>
      </w:r>
    </w:p>
    <w:p>
      <w:pPr>
        <w:pStyle w:val="style0"/>
        <w:jc w:val="both"/>
        <w:rPr>
          <w:rFonts w:ascii="Arial" w:cs="Arial" w:hAnsi="Arial"/>
        </w:rPr>
      </w:pPr>
      <w:r>
        <w:rPr>
          <w:rFonts w:ascii="Arial" w:cs="Arial" w:hAnsi="Arial"/>
        </w:rPr>
        <w:t xml:space="preserve">Actualmente se vienen adelantando gestiones de articulación con el Jardín Botánico de Bogotá para el fortalecimiento de la practica de la agricultura urbana mediante el desarrollo de módulos teórico – prácticos dirigidos a la comunidad. Este tipo de acciones buscan mitigar el impacto que ha generado el COVID en la economía de candelarios. </w:t>
      </w:r>
    </w:p>
    <w:p>
      <w:pPr>
        <w:pStyle w:val="style0"/>
        <w:jc w:val="both"/>
        <w:rPr>
          <w:rFonts w:ascii="Arial" w:cs="Arial" w:hAnsi="Arial"/>
        </w:rPr>
      </w:pPr>
      <w:r>
        <w:rPr>
          <w:rFonts w:ascii="Arial" w:cs="Arial" w:hAnsi="Arial"/>
        </w:rPr>
        <w:t xml:space="preserve">Aunque no se cuentan con amplias zonas para el desarrollo de dicha práctica, en la comunidad, la agricultura urbana ha venido tomando fuerza mediante el aprovechamiento en solares, patios, terrazas y estructuras verticales predominando la cosecha de hortalizas. </w:t>
      </w:r>
    </w:p>
    <w:p>
      <w:pPr>
        <w:pStyle w:val="style0"/>
        <w:jc w:val="both"/>
        <w:rPr>
          <w:rFonts w:ascii="Arial" w:cs="Arial" w:hAnsi="Arial"/>
        </w:rPr>
      </w:pPr>
    </w:p>
    <w:p>
      <w:pPr>
        <w:pStyle w:val="style0"/>
        <w:jc w:val="both"/>
        <w:rPr>
          <w:rFonts w:ascii="Arial" w:cs="Arial" w:hAnsi="Arial"/>
          <w:b/>
          <w:bCs/>
        </w:rPr>
      </w:pPr>
      <w:r>
        <w:rPr>
          <w:rFonts w:ascii="Arial" w:cs="Arial" w:hAnsi="Arial"/>
          <w:b/>
          <w:bCs/>
        </w:rPr>
        <w:t xml:space="preserve">Bienestar y protección animal </w:t>
      </w:r>
    </w:p>
    <w:p>
      <w:pPr>
        <w:pStyle w:val="style0"/>
        <w:jc w:val="both"/>
        <w:rPr>
          <w:rFonts w:ascii="Arial" w:cs="Arial" w:hAnsi="Arial"/>
        </w:rPr>
      </w:pPr>
      <w:r>
        <w:rPr>
          <w:rFonts w:ascii="Arial" w:cs="Arial" w:hAnsi="Arial"/>
        </w:rPr>
        <w:t xml:space="preserve">En </w:t>
      </w:r>
      <w:r>
        <w:rPr>
          <w:rFonts w:ascii="Arial" w:cs="Arial" w:hAnsi="Arial"/>
        </w:rPr>
        <w:t>mayo de 2019 la Localidad de la Candelaria convo</w:t>
      </w:r>
      <w:r>
        <w:rPr>
          <w:rFonts w:ascii="Arial" w:cs="Arial" w:hAnsi="Arial"/>
        </w:rPr>
        <w:t>có las</w:t>
      </w:r>
      <w:r>
        <w:rPr>
          <w:rFonts w:ascii="Arial" w:cs="Arial" w:hAnsi="Arial"/>
        </w:rPr>
        <w:t xml:space="preserve"> </w:t>
      </w:r>
      <w:r>
        <w:rPr>
          <w:rFonts w:ascii="Arial" w:cs="Arial" w:hAnsi="Arial"/>
        </w:rPr>
        <w:t>inscri</w:t>
      </w:r>
      <w:r>
        <w:rPr>
          <w:rFonts w:ascii="Arial" w:cs="Arial" w:hAnsi="Arial"/>
        </w:rPr>
        <w:t xml:space="preserve">pciones para integrar </w:t>
      </w:r>
      <w:r>
        <w:rPr>
          <w:rFonts w:ascii="Arial" w:cs="Arial" w:hAnsi="Arial"/>
        </w:rPr>
        <w:t>el Consejo Local de Protección y Bienestar Animal; un organismo de participación comunitaria y control social que tiene entre sus funciones</w:t>
      </w:r>
      <w:r>
        <w:rPr>
          <w:rFonts w:ascii="Arial" w:cs="Arial" w:hAnsi="Arial"/>
        </w:rPr>
        <w:t xml:space="preserve">, diagnosticar la situación actual de los animales en la localidad, promover actividades permanentes de respeto por la vida de los animales, </w:t>
      </w:r>
      <w:r>
        <w:rPr>
          <w:rFonts w:ascii="Arial" w:cs="Arial" w:hAnsi="Arial"/>
        </w:rPr>
        <w:t>d</w:t>
      </w:r>
      <w:r>
        <w:rPr>
          <w:rFonts w:ascii="Arial" w:cs="Arial" w:hAnsi="Arial"/>
        </w:rPr>
        <w:t>efinir acciones de solución a los problemas de maltrato, tenencia irresponsable y crueldad c</w:t>
      </w:r>
      <w:r>
        <w:rPr>
          <w:rFonts w:ascii="Arial" w:cs="Arial" w:hAnsi="Arial"/>
        </w:rPr>
        <w:t>o</w:t>
      </w:r>
      <w:r>
        <w:rPr>
          <w:rFonts w:ascii="Arial" w:cs="Arial" w:hAnsi="Arial"/>
        </w:rPr>
        <w:t>ntra los animales en forma de campañas, planes, programas o estrategias</w:t>
      </w:r>
      <w:r>
        <w:rPr>
          <w:rFonts w:ascii="Arial" w:cs="Arial" w:hAnsi="Arial"/>
        </w:rPr>
        <w:t>, entre otras.</w:t>
      </w:r>
    </w:p>
    <w:p>
      <w:pPr>
        <w:pStyle w:val="style0"/>
        <w:jc w:val="both"/>
        <w:rPr>
          <w:rFonts w:ascii="Arial" w:cs="Arial" w:hAnsi="Arial"/>
        </w:rPr>
      </w:pPr>
      <w:r>
        <w:rPr>
          <w:rFonts w:ascii="Arial" w:cs="Arial" w:hAnsi="Arial"/>
        </w:rPr>
        <w:t xml:space="preserve">En la actualidad se cuenta con una Mesa de Bienestar y Protección Animal que interinstitucionalmente, con el apoyo de la comunidad animalista y de la Alcaldía Local, adelantan gestiones relacionadas con brigadas medico veterinarias, atención y promoción para el cuidado y tenencia responsable de animales.  </w:t>
      </w:r>
    </w:p>
    <w:p>
      <w:pPr>
        <w:pStyle w:val="style0"/>
        <w:jc w:val="both"/>
        <w:rPr>
          <w:rFonts w:ascii="Arial" w:cs="Arial" w:hAnsi="Arial"/>
        </w:rPr>
      </w:pPr>
      <w:r>
        <w:rPr>
          <w:rFonts w:ascii="Arial" w:cs="Arial" w:hAnsi="Arial"/>
        </w:rPr>
        <w:t>Periódicamente se adelantan gestiones locales - comunitarias en el marco de la implementación de la</w:t>
      </w:r>
      <w:r>
        <w:rPr>
          <w:rFonts w:ascii="Arial" w:cs="Arial" w:hAnsi="Arial"/>
        </w:rPr>
        <w:t xml:space="preserve"> Política Pública Distrital de Protección y Bienestar Animal</w:t>
      </w:r>
      <w:r>
        <w:rPr>
          <w:rFonts w:ascii="Arial" w:cs="Arial" w:hAnsi="Arial"/>
        </w:rPr>
        <w:t xml:space="preserve"> mediante la misionalidad del </w:t>
      </w:r>
      <w:r>
        <w:rPr>
          <w:rFonts w:ascii="Arial" w:cs="Arial" w:hAnsi="Arial"/>
        </w:rPr>
        <w:t>Instituto Distrital de Protección y Bienestar Animal</w:t>
      </w:r>
      <w:r>
        <w:rPr>
          <w:rFonts w:ascii="Arial" w:cs="Arial" w:hAnsi="Arial"/>
        </w:rPr>
        <w:t xml:space="preserve"> y el interés evidenciado por parte de los habitantes de la localidad de la Candelaria. </w:t>
      </w:r>
    </w:p>
    <w:p>
      <w:pPr>
        <w:pStyle w:val="style0"/>
        <w:jc w:val="both"/>
        <w:rPr>
          <w:rFonts w:ascii="Arial" w:cs="Arial" w:hAnsi="Arial"/>
        </w:rPr>
      </w:pPr>
      <w:r>
        <w:rPr>
          <w:rFonts w:ascii="Arial" w:cs="Arial" w:hAnsi="Arial"/>
        </w:rPr>
        <w:t xml:space="preserve"> </w:t>
      </w:r>
    </w:p>
    <w:p>
      <w:pPr>
        <w:pStyle w:val="style0"/>
        <w:jc w:val="both"/>
        <w:rPr>
          <w:rFonts w:ascii="Arial" w:cs="Arial" w:hAnsi="Arial"/>
          <w:b/>
          <w:bCs/>
        </w:rPr>
      </w:pPr>
      <w:r>
        <w:rPr>
          <w:rFonts w:ascii="Arial" w:cs="Arial" w:hAnsi="Arial"/>
          <w:b/>
          <w:bCs/>
        </w:rPr>
        <w:t>Gestión ambiental</w:t>
      </w:r>
    </w:p>
    <w:p>
      <w:pPr>
        <w:pStyle w:val="style0"/>
        <w:jc w:val="both"/>
        <w:rPr>
          <w:rFonts w:ascii="Arial" w:cs="Arial" w:hAnsi="Arial"/>
        </w:rPr>
      </w:pPr>
      <w:r>
        <w:rPr>
          <w:rFonts w:ascii="Arial" w:cs="Arial" w:hAnsi="Arial"/>
        </w:rPr>
        <w:t xml:space="preserve">En la actualidad se cuenta con diversas instancias de participación ambiental local e institucional como lo son: </w:t>
      </w:r>
    </w:p>
    <w:p>
      <w:pPr>
        <w:pStyle w:val="style179"/>
        <w:numPr>
          <w:ilvl w:val="0"/>
          <w:numId w:val="8"/>
        </w:numPr>
        <w:jc w:val="both"/>
        <w:rPr>
          <w:rFonts w:ascii="Arial" w:cs="Arial" w:hAnsi="Arial"/>
        </w:rPr>
      </w:pPr>
      <w:r>
        <w:rPr>
          <w:rFonts w:ascii="Arial" w:cs="Arial" w:hAnsi="Arial"/>
        </w:rPr>
        <w:t>Comisión ambiental local</w:t>
      </w:r>
      <w:r>
        <w:rPr>
          <w:rFonts w:ascii="Arial" w:cs="Arial" w:hAnsi="Arial"/>
        </w:rPr>
        <w:t>.</w:t>
      </w:r>
    </w:p>
    <w:p>
      <w:pPr>
        <w:pStyle w:val="style179"/>
        <w:numPr>
          <w:ilvl w:val="0"/>
          <w:numId w:val="8"/>
        </w:numPr>
        <w:jc w:val="both"/>
        <w:rPr>
          <w:rFonts w:ascii="Arial" w:cs="Arial" w:hAnsi="Arial"/>
        </w:rPr>
      </w:pPr>
      <w:r>
        <w:rPr>
          <w:rFonts w:ascii="Arial" w:cs="Arial" w:hAnsi="Arial"/>
        </w:rPr>
        <w:t>Mesa de bienestar y protección animal</w:t>
      </w:r>
      <w:r>
        <w:rPr>
          <w:rFonts w:ascii="Arial" w:cs="Arial" w:hAnsi="Arial"/>
        </w:rPr>
        <w:t>.</w:t>
      </w:r>
    </w:p>
    <w:p>
      <w:pPr>
        <w:pStyle w:val="style179"/>
        <w:numPr>
          <w:ilvl w:val="0"/>
          <w:numId w:val="8"/>
        </w:numPr>
        <w:jc w:val="both"/>
        <w:rPr>
          <w:rFonts w:ascii="Arial" w:cs="Arial" w:hAnsi="Arial"/>
        </w:rPr>
      </w:pPr>
      <w:r>
        <w:rPr>
          <w:rFonts w:ascii="Arial" w:cs="Arial" w:hAnsi="Arial"/>
        </w:rPr>
        <w:t>Mesa de habitante de calle</w:t>
      </w:r>
      <w:r>
        <w:rPr>
          <w:rFonts w:ascii="Arial" w:cs="Arial" w:hAnsi="Arial"/>
        </w:rPr>
        <w:t>.</w:t>
      </w:r>
    </w:p>
    <w:p>
      <w:pPr>
        <w:pStyle w:val="style0"/>
        <w:jc w:val="both"/>
        <w:rPr>
          <w:rFonts w:ascii="Arial" w:cs="Arial" w:hAnsi="Arial"/>
        </w:rPr>
      </w:pPr>
      <w:r>
        <w:rPr>
          <w:rFonts w:ascii="Arial" w:cs="Arial" w:hAnsi="Arial"/>
        </w:rPr>
        <w:t xml:space="preserve">Estas instancias permiten validar la practica de la gestión ambiental local que sin duda reconoce y valora el trabajo de las organizaciones ambientales, líderes y lideresas, juntas de acción comunal, grafiteros, actores culturales y académicos representados en los </w:t>
      </w:r>
      <w:r>
        <w:rPr>
          <w:rFonts w:ascii="Arial" w:cs="Arial" w:hAnsi="Arial"/>
        </w:rPr>
        <w:t xml:space="preserve">programas que impulsan algunas universidades con presencia local.  </w:t>
      </w:r>
    </w:p>
    <w:p>
      <w:pPr>
        <w:pStyle w:val="style0"/>
        <w:jc w:val="both"/>
        <w:rPr>
          <w:rFonts w:ascii="Arial" w:cs="Arial" w:hAnsi="Arial"/>
        </w:rPr>
      </w:pPr>
      <w:r>
        <w:rPr>
          <w:rFonts w:ascii="Arial" w:cs="Arial" w:hAnsi="Arial"/>
        </w:rPr>
        <w:t xml:space="preserve">En este momento los habitantes de la localidad pueden elegir la inversión local en el sector ambiental mediante la estrategia de presupuestos participativos como se muestra en la tabla 1.   </w:t>
      </w:r>
    </w:p>
    <w:p>
      <w:pPr>
        <w:pStyle w:val="style0"/>
        <w:spacing w:after="0" w:lineRule="auto" w:line="240"/>
        <w:jc w:val="center"/>
        <w:rPr>
          <w:rFonts w:ascii="Arial" w:cs="Arial" w:eastAsia="Arial" w:hAnsi="Arial"/>
          <w:b/>
        </w:rPr>
      </w:pPr>
      <w:r>
        <w:rPr>
          <w:rFonts w:ascii="Arial" w:cs="Arial" w:hAnsi="Arial"/>
          <w:b/>
          <w:bCs/>
        </w:rPr>
        <w:t xml:space="preserve"> </w:t>
      </w:r>
      <w:r>
        <w:rPr>
          <w:rFonts w:ascii="Arial" w:cs="Arial" w:eastAsia="Arial" w:hAnsi="Arial"/>
          <w:b/>
        </w:rPr>
        <w:t>Inversiones que constituyen el propósito “Cambiar nuestros hábitos de vida para reverdecer a Bogotá y adaptarnos y mitigar el cambio climático”.</w:t>
      </w:r>
    </w:p>
    <w:p>
      <w:pPr>
        <w:pStyle w:val="style0"/>
        <w:spacing w:after="0" w:lineRule="auto" w:line="240"/>
        <w:jc w:val="both"/>
        <w:rPr>
          <w:rFonts w:ascii="Arial" w:cs="Arial" w:eastAsia="Arial" w:hAnsi="Arial"/>
        </w:rPr>
      </w:pPr>
    </w:p>
    <w:p>
      <w:pPr>
        <w:pStyle w:val="style0"/>
        <w:autoSpaceDE w:val="false"/>
        <w:autoSpaceDN w:val="false"/>
        <w:adjustRightInd w:val="false"/>
        <w:jc w:val="center"/>
        <w:rPr>
          <w:rFonts w:ascii="Arial" w:cs="Arial" w:hAnsi="Arial"/>
          <w:b/>
          <w:bCs/>
        </w:rPr>
      </w:pPr>
      <w:r>
        <w:rPr>
          <w:rFonts w:ascii="Arial" w:cs="Arial" w:hAnsi="Arial"/>
          <w:b/>
          <w:bCs/>
        </w:rPr>
        <w:t>Tabla 1: Inversiones del componente presupuestos participativos</w:t>
      </w:r>
    </w:p>
    <w:tbl>
      <w:tblPr>
        <w:tblW w:w="0" w:type="auto"/>
        <w:jc w:val="center"/>
        <w:tblCellMar>
          <w:left w:w="70" w:type="dxa"/>
          <w:right w:w="70" w:type="dxa"/>
        </w:tblCellMar>
        <w:tblLook w:val="04A0" w:firstRow="1" w:lastRow="0" w:firstColumn="1" w:lastColumn="0" w:noHBand="0" w:noVBand="1"/>
      </w:tblPr>
      <w:tblGrid>
        <w:gridCol w:w="2053"/>
        <w:gridCol w:w="3057"/>
        <w:gridCol w:w="3726"/>
      </w:tblGrid>
      <w:tr>
        <w:trPr>
          <w:trHeight w:val="343" w:hRule="atLeast"/>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375623"/>
            <w:vAlign w:val="center"/>
            <w:hideMark/>
          </w:tcPr>
          <w:p>
            <w:pPr>
              <w:pStyle w:val="style0"/>
              <w:jc w:val="center"/>
              <w:rPr>
                <w:rFonts w:ascii="Arial" w:cs="Arial" w:eastAsia="Times New Roman" w:hAnsi="Arial"/>
                <w:b/>
                <w:bCs/>
                <w:sz w:val="18"/>
                <w:szCs w:val="18"/>
                <w:lang w:eastAsia="es-CO"/>
              </w:rPr>
            </w:pPr>
            <w:r>
              <w:rPr>
                <w:rFonts w:ascii="Arial" w:cs="Arial" w:eastAsia="Times New Roman" w:hAnsi="Arial"/>
                <w:b/>
                <w:bCs/>
                <w:sz w:val="18"/>
                <w:szCs w:val="18"/>
                <w:lang w:eastAsia="es-CO"/>
              </w:rPr>
              <w:t>LÍNEA</w:t>
            </w:r>
          </w:p>
        </w:tc>
        <w:tc>
          <w:tcPr>
            <w:tcW w:w="0" w:type="auto"/>
            <w:tcBorders>
              <w:top w:val="single" w:sz="4" w:space="0" w:color="auto"/>
              <w:left w:val="nil"/>
              <w:bottom w:val="single" w:sz="4" w:space="0" w:color="auto"/>
              <w:right w:val="single" w:sz="4" w:space="0" w:color="auto"/>
            </w:tcBorders>
            <w:shd w:val="clear" w:color="auto" w:fill="375623"/>
          </w:tcPr>
          <w:p>
            <w:pPr>
              <w:pStyle w:val="style0"/>
              <w:jc w:val="center"/>
              <w:rPr>
                <w:rFonts w:ascii="Arial" w:cs="Arial" w:eastAsia="Times New Roman" w:hAnsi="Arial"/>
                <w:b/>
                <w:bCs/>
                <w:sz w:val="18"/>
                <w:szCs w:val="18"/>
                <w:lang w:eastAsia="es-CO"/>
              </w:rPr>
            </w:pPr>
            <w:r>
              <w:rPr>
                <w:rFonts w:ascii="Arial" w:cs="Arial" w:eastAsia="Times New Roman" w:hAnsi="Arial"/>
                <w:b/>
                <w:bCs/>
                <w:sz w:val="18"/>
                <w:szCs w:val="18"/>
                <w:lang w:eastAsia="es-CO"/>
              </w:rPr>
              <w:t>PROYECTOS Y NECESIDADES IDENTIFICADAS DESDE EL SECTOR</w:t>
            </w:r>
          </w:p>
        </w:tc>
        <w:tc>
          <w:tcPr>
            <w:tcW w:w="0" w:type="auto"/>
            <w:tcBorders>
              <w:top w:val="single" w:sz="4" w:space="0" w:color="auto"/>
              <w:left w:val="single" w:sz="4" w:space="0" w:color="auto"/>
              <w:bottom w:val="single" w:sz="4" w:space="0" w:color="auto"/>
              <w:right w:val="single" w:sz="4" w:space="0" w:color="auto"/>
            </w:tcBorders>
            <w:shd w:val="clear" w:color="auto" w:fill="375623"/>
            <w:vAlign w:val="center"/>
            <w:hideMark/>
          </w:tcPr>
          <w:p>
            <w:pPr>
              <w:pStyle w:val="style0"/>
              <w:jc w:val="center"/>
              <w:rPr>
                <w:rFonts w:ascii="Arial" w:cs="Arial" w:eastAsia="Times New Roman" w:hAnsi="Arial"/>
                <w:b/>
                <w:bCs/>
                <w:sz w:val="18"/>
                <w:szCs w:val="18"/>
                <w:lang w:eastAsia="es-CO"/>
              </w:rPr>
            </w:pPr>
            <w:r>
              <w:rPr>
                <w:rFonts w:ascii="Arial" w:cs="Arial" w:eastAsia="Times New Roman" w:hAnsi="Arial"/>
                <w:b/>
                <w:bCs/>
                <w:sz w:val="18"/>
                <w:szCs w:val="18"/>
                <w:lang w:eastAsia="es-CO"/>
              </w:rPr>
              <w:t>CONCEPTO DE GASTO</w:t>
            </w:r>
          </w:p>
        </w:tc>
      </w:tr>
      <w:tr>
        <w:tblPrEx/>
        <w:trPr>
          <w:trHeight w:val="343" w:hRule="atLeast"/>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375623"/>
            <w:vAlign w:val="center"/>
          </w:tcPr>
          <w:p>
            <w:pPr>
              <w:pStyle w:val="style0"/>
              <w:jc w:val="center"/>
              <w:rPr>
                <w:rFonts w:ascii="Arial" w:cs="Arial" w:eastAsia="Times New Roman" w:hAnsi="Arial"/>
                <w:b/>
                <w:bCs/>
                <w:sz w:val="18"/>
                <w:szCs w:val="18"/>
                <w:lang w:eastAsia="es-CO"/>
              </w:rPr>
            </w:pPr>
            <w:r>
              <w:rPr>
                <w:rFonts w:ascii="Arial" w:cs="Arial" w:eastAsia="Times New Roman" w:hAnsi="Arial"/>
                <w:b/>
                <w:bCs/>
                <w:sz w:val="18"/>
                <w:szCs w:val="18"/>
                <w:lang w:eastAsia="es-CO"/>
              </w:rPr>
              <w:t>Marco de referencia de la ejecución del actuar contractual</w:t>
            </w:r>
          </w:p>
        </w:tc>
        <w:tc>
          <w:tcPr>
            <w:tcW w:w="0" w:type="auto"/>
            <w:tcBorders>
              <w:top w:val="single" w:sz="4" w:space="0" w:color="auto"/>
              <w:left w:val="nil"/>
              <w:bottom w:val="single" w:sz="4" w:space="0" w:color="auto"/>
              <w:right w:val="single" w:sz="4" w:space="0" w:color="auto"/>
            </w:tcBorders>
            <w:shd w:val="clear" w:color="auto" w:fill="375623"/>
          </w:tcPr>
          <w:p>
            <w:pPr>
              <w:pStyle w:val="style0"/>
              <w:jc w:val="center"/>
              <w:rPr>
                <w:rFonts w:ascii="Arial" w:cs="Arial" w:eastAsia="Times New Roman" w:hAnsi="Arial"/>
                <w:b/>
                <w:bCs/>
                <w:sz w:val="18"/>
                <w:szCs w:val="18"/>
                <w:lang w:eastAsia="es-CO"/>
              </w:rPr>
            </w:pPr>
          </w:p>
          <w:p>
            <w:pPr>
              <w:pStyle w:val="style0"/>
              <w:jc w:val="center"/>
              <w:rPr>
                <w:rFonts w:ascii="Arial" w:cs="Arial" w:eastAsia="Times New Roman" w:hAnsi="Arial"/>
                <w:b/>
                <w:bCs/>
                <w:sz w:val="18"/>
                <w:szCs w:val="18"/>
                <w:lang w:eastAsia="es-CO"/>
              </w:rPr>
            </w:pPr>
            <w:r>
              <w:rPr>
                <w:rFonts w:ascii="Arial" w:cs="Arial" w:eastAsia="Times New Roman" w:hAnsi="Arial"/>
                <w:b/>
                <w:bCs/>
                <w:sz w:val="18"/>
                <w:szCs w:val="18"/>
                <w:lang w:eastAsia="es-CO"/>
              </w:rPr>
              <w:t>Proyectos que se han realizado o necesidades identificadas</w:t>
            </w:r>
          </w:p>
        </w:tc>
        <w:tc>
          <w:tcPr>
            <w:tcW w:w="0" w:type="auto"/>
            <w:tcBorders>
              <w:top w:val="single" w:sz="4" w:space="0" w:color="auto"/>
              <w:left w:val="single" w:sz="4" w:space="0" w:color="auto"/>
              <w:bottom w:val="single" w:sz="4" w:space="0" w:color="auto"/>
              <w:right w:val="single" w:sz="4" w:space="0" w:color="auto"/>
            </w:tcBorders>
            <w:shd w:val="clear" w:color="auto" w:fill="375623"/>
            <w:vAlign w:val="center"/>
          </w:tcPr>
          <w:p>
            <w:pPr>
              <w:pStyle w:val="style0"/>
              <w:jc w:val="center"/>
              <w:rPr>
                <w:rFonts w:ascii="Arial" w:cs="Arial" w:eastAsia="Times New Roman" w:hAnsi="Arial"/>
                <w:b/>
                <w:bCs/>
                <w:sz w:val="18"/>
                <w:szCs w:val="18"/>
                <w:lang w:eastAsia="es-CO"/>
              </w:rPr>
            </w:pPr>
            <w:r>
              <w:rPr>
                <w:rFonts w:ascii="Arial" w:cs="Arial" w:eastAsia="Times New Roman" w:hAnsi="Arial"/>
                <w:b/>
                <w:bCs/>
                <w:sz w:val="18"/>
                <w:szCs w:val="18"/>
                <w:lang w:eastAsia="es-CO"/>
              </w:rPr>
              <w:t>Conceptos ambientales por los cuales podrán VOTAR</w:t>
            </w:r>
          </w:p>
        </w:tc>
      </w:tr>
      <w:tr>
        <w:tblPrEx/>
        <w:trPr>
          <w:trHeight w:val="1445" w:hRule="atLeast"/>
          <w:jc w:val="center"/>
        </w:trPr>
        <w:tc>
          <w:tcPr>
            <w:tcW w:w="0" w:type="auto"/>
            <w:vMerge w:val="restart"/>
            <w:tcBorders>
              <w:top w:val="nil"/>
              <w:left w:val="single" w:sz="4" w:space="0" w:color="auto"/>
              <w:bottom w:val="nil"/>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Inversiones ambientales sostenibles</w:t>
            </w:r>
          </w:p>
        </w:tc>
        <w:tc>
          <w:tcPr>
            <w:tcW w:w="0" w:type="auto"/>
            <w:tcBorders>
              <w:top w:val="single" w:sz="4" w:space="0" w:color="auto"/>
              <w:left w:val="nil"/>
              <w:bottom w:val="single" w:sz="4" w:space="0" w:color="auto"/>
              <w:right w:val="single" w:sz="4" w:space="0" w:color="auto"/>
            </w:tcBorders>
          </w:tcPr>
          <w:p>
            <w:pPr>
              <w:pStyle w:val="style0"/>
              <w:jc w:val="both"/>
              <w:rPr>
                <w:rFonts w:ascii="Arial" w:cs="Arial" w:eastAsia="Times New Roman" w:hAnsi="Arial"/>
                <w:sz w:val="18"/>
                <w:szCs w:val="18"/>
                <w:lang w:eastAsia="es-CO"/>
              </w:rPr>
            </w:pPr>
          </w:p>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Implementar un programa de bienestar y protección animal en situación de abandono</w:t>
            </w:r>
          </w:p>
        </w:tc>
        <w:tc>
          <w:tcPr>
            <w:tcW w:w="0" w:type="auto"/>
            <w:tcBorders>
              <w:top w:val="nil"/>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Acuerdos con las redes locales de proteccionistas de animales para urgencias, brigadas médico-veterinarias, acciones de esterilización, educación y adopción.</w:t>
            </w:r>
          </w:p>
        </w:tc>
      </w:tr>
      <w:tr>
        <w:tblPrEx/>
        <w:trPr>
          <w:trHeight w:val="1029" w:hRule="atLeast"/>
          <w:jc w:val="center"/>
        </w:trPr>
        <w:tc>
          <w:tcPr>
            <w:tcW w:w="0" w:type="auto"/>
            <w:vMerge w:val="continue"/>
            <w:tcBorders>
              <w:top w:val="nil"/>
              <w:left w:val="single" w:sz="4" w:space="0" w:color="auto"/>
              <w:bottom w:val="nil"/>
              <w:right w:val="single" w:sz="4" w:space="0" w:color="auto"/>
            </w:tcBorders>
            <w:vAlign w:val="center"/>
            <w:hideMark/>
          </w:tcPr>
          <w:p>
            <w:pPr>
              <w:pStyle w:val="style0"/>
              <w:spacing w:after="0"/>
              <w:rPr>
                <w:rFonts w:ascii="Arial" w:cs="Arial" w:eastAsia="Times New Roman" w:hAnsi="Arial"/>
                <w:sz w:val="18"/>
                <w:szCs w:val="18"/>
                <w:lang w:eastAsia="es-CO"/>
              </w:rPr>
            </w:pPr>
          </w:p>
        </w:tc>
        <w:tc>
          <w:tcPr>
            <w:tcW w:w="0" w:type="auto"/>
            <w:tcBorders>
              <w:top w:val="single" w:sz="4" w:space="0" w:color="auto"/>
              <w:left w:val="nil"/>
              <w:bottom w:val="single" w:sz="4" w:space="0" w:color="auto"/>
              <w:right w:val="single" w:sz="4" w:space="0" w:color="auto"/>
            </w:tcBorders>
          </w:tcPr>
          <w:p>
            <w:pPr>
              <w:pStyle w:val="style0"/>
              <w:jc w:val="both"/>
              <w:rPr>
                <w:rFonts w:ascii="Arial" w:cs="Arial" w:eastAsia="Times New Roman" w:hAnsi="Arial"/>
                <w:sz w:val="18"/>
                <w:szCs w:val="18"/>
                <w:lang w:eastAsia="es-CO"/>
              </w:rPr>
            </w:pPr>
          </w:p>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Implementación de un proyecto de agricultura urbana local</w:t>
            </w:r>
          </w:p>
        </w:tc>
        <w:tc>
          <w:tcPr>
            <w:tcW w:w="0" w:type="auto"/>
            <w:tcBorders>
              <w:top w:val="nil"/>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Agricultura urbana.</w:t>
            </w:r>
          </w:p>
        </w:tc>
      </w:tr>
      <w:tr>
        <w:tblPrEx/>
        <w:trPr>
          <w:trHeight w:val="998" w:hRule="atLeast"/>
          <w:jc w:val="center"/>
        </w:trPr>
        <w:tc>
          <w:tcPr>
            <w:tcW w:w="0" w:type="auto"/>
            <w:vMerge w:val="continue"/>
            <w:tcBorders>
              <w:top w:val="nil"/>
              <w:left w:val="single" w:sz="4" w:space="0" w:color="auto"/>
              <w:bottom w:val="nil"/>
              <w:right w:val="single" w:sz="4" w:space="0" w:color="auto"/>
            </w:tcBorders>
            <w:vAlign w:val="center"/>
            <w:hideMark/>
          </w:tcPr>
          <w:p>
            <w:pPr>
              <w:pStyle w:val="style0"/>
              <w:spacing w:after="0"/>
              <w:rPr>
                <w:rFonts w:ascii="Arial" w:cs="Arial" w:eastAsia="Times New Roman" w:hAnsi="Arial"/>
                <w:sz w:val="18"/>
                <w:szCs w:val="18"/>
                <w:lang w:eastAsia="es-CO"/>
              </w:rPr>
            </w:pPr>
          </w:p>
        </w:tc>
        <w:tc>
          <w:tcPr>
            <w:tcW w:w="0" w:type="auto"/>
            <w:tcBorders>
              <w:top w:val="single" w:sz="4" w:space="0" w:color="auto"/>
              <w:left w:val="nil"/>
              <w:bottom w:val="single" w:sz="4" w:space="0" w:color="auto"/>
              <w:right w:val="single" w:sz="4" w:space="0" w:color="auto"/>
            </w:tcBorders>
          </w:tcPr>
          <w:p>
            <w:pPr>
              <w:pStyle w:val="style0"/>
              <w:jc w:val="both"/>
              <w:rPr>
                <w:rFonts w:ascii="Arial" w:cs="Arial" w:eastAsia="Times New Roman" w:hAnsi="Arial"/>
                <w:sz w:val="18"/>
                <w:szCs w:val="18"/>
                <w:lang w:eastAsia="es-CO"/>
              </w:rPr>
            </w:pPr>
          </w:p>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Desarrollo de un programa para reverdecer la localidad</w:t>
            </w:r>
          </w:p>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(Plantación y mantenimiento del arbolado)</w:t>
            </w:r>
          </w:p>
        </w:tc>
        <w:tc>
          <w:tcPr>
            <w:tcW w:w="0" w:type="auto"/>
            <w:tcBorders>
              <w:top w:val="nil"/>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Arbolado urbano y/o rural.</w:t>
            </w:r>
          </w:p>
        </w:tc>
      </w:tr>
      <w:tr>
        <w:tblPrEx/>
        <w:trPr>
          <w:trHeight w:val="1101" w:hRule="atLeast"/>
          <w:jc w:val="center"/>
        </w:trPr>
        <w:tc>
          <w:tcPr>
            <w:tcW w:w="0" w:type="auto"/>
            <w:vMerge w:val="continue"/>
            <w:tcBorders>
              <w:top w:val="nil"/>
              <w:left w:val="single" w:sz="4" w:space="0" w:color="auto"/>
              <w:bottom w:val="nil"/>
              <w:right w:val="single" w:sz="4" w:space="0" w:color="auto"/>
            </w:tcBorders>
            <w:vAlign w:val="center"/>
            <w:hideMark/>
          </w:tcPr>
          <w:p>
            <w:pPr>
              <w:pStyle w:val="style0"/>
              <w:spacing w:after="0"/>
              <w:rPr>
                <w:rFonts w:ascii="Arial" w:cs="Arial" w:eastAsia="Times New Roman" w:hAnsi="Arial"/>
                <w:sz w:val="18"/>
                <w:szCs w:val="18"/>
                <w:lang w:eastAsia="es-CO"/>
              </w:rPr>
            </w:pPr>
          </w:p>
        </w:tc>
        <w:tc>
          <w:tcPr>
            <w:tcW w:w="0" w:type="auto"/>
            <w:tcBorders>
              <w:top w:val="single" w:sz="4" w:space="0" w:color="auto"/>
              <w:left w:val="nil"/>
              <w:bottom w:val="single" w:sz="4" w:space="0" w:color="auto"/>
              <w:right w:val="single" w:sz="4" w:space="0" w:color="auto"/>
            </w:tcBorders>
          </w:tcPr>
          <w:p>
            <w:pPr>
              <w:pStyle w:val="style0"/>
              <w:jc w:val="center"/>
              <w:rPr>
                <w:rFonts w:ascii="Arial" w:cs="Arial" w:eastAsia="Times New Roman" w:hAnsi="Arial"/>
                <w:sz w:val="18"/>
                <w:szCs w:val="18"/>
                <w:lang w:eastAsia="es-CO"/>
              </w:rPr>
            </w:pPr>
          </w:p>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Desarrollar un diplomado sobre consumismo, manejo y disposición final de residuos</w:t>
            </w:r>
          </w:p>
        </w:tc>
        <w:tc>
          <w:tcPr>
            <w:tcW w:w="0" w:type="auto"/>
            <w:tcBorders>
              <w:top w:val="nil"/>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Cambios de hábitos de consumo, separación en la fuente y reciclaje.</w:t>
            </w:r>
          </w:p>
        </w:tc>
      </w:tr>
      <w:tr>
        <w:tblPrEx/>
        <w:trPr>
          <w:trHeight w:val="313" w:hRule="atLeast"/>
          <w:jc w:val="center"/>
        </w:trPr>
        <w:tc>
          <w:tcPr>
            <w:tcW w:w="0" w:type="auto"/>
            <w:vMerge w:val="continue"/>
            <w:tcBorders>
              <w:top w:val="nil"/>
              <w:left w:val="single" w:sz="4" w:space="0" w:color="auto"/>
              <w:bottom w:val="nil"/>
              <w:right w:val="single" w:sz="4" w:space="0" w:color="auto"/>
            </w:tcBorders>
            <w:vAlign w:val="center"/>
            <w:hideMark/>
          </w:tcPr>
          <w:p>
            <w:pPr>
              <w:pStyle w:val="style0"/>
              <w:spacing w:after="0"/>
              <w:rPr>
                <w:rFonts w:ascii="Arial" w:cs="Arial" w:eastAsia="Times New Roman" w:hAnsi="Arial"/>
                <w:sz w:val="18"/>
                <w:szCs w:val="18"/>
                <w:lang w:eastAsia="es-CO"/>
              </w:rPr>
            </w:pPr>
          </w:p>
        </w:tc>
        <w:tc>
          <w:tcPr>
            <w:tcW w:w="0" w:type="auto"/>
            <w:tcBorders>
              <w:top w:val="single" w:sz="4" w:space="0" w:color="auto"/>
              <w:left w:val="nil"/>
              <w:bottom w:val="single" w:sz="4" w:space="0" w:color="auto"/>
              <w:right w:val="single" w:sz="4" w:space="0" w:color="auto"/>
            </w:tcBorders>
          </w:tcPr>
          <w:p>
            <w:pPr>
              <w:pStyle w:val="style0"/>
              <w:jc w:val="both"/>
              <w:rPr>
                <w:rFonts w:ascii="Arial" w:cs="Arial" w:eastAsia="Times New Roman" w:hAnsi="Arial"/>
                <w:sz w:val="18"/>
                <w:szCs w:val="18"/>
                <w:lang w:eastAsia="es-CO"/>
              </w:rPr>
            </w:pPr>
          </w:p>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Implementación de proyecto de techos, paredes o estructuras verdes</w:t>
            </w:r>
          </w:p>
        </w:tc>
        <w:tc>
          <w:tcPr>
            <w:tcW w:w="0" w:type="auto"/>
            <w:tcBorders>
              <w:top w:val="nil"/>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 xml:space="preserve">Eco-urbanismo. </w:t>
            </w:r>
          </w:p>
        </w:tc>
      </w:tr>
      <w:tr>
        <w:tblPrEx/>
        <w:trPr>
          <w:trHeight w:val="988" w:hRule="atLeast"/>
          <w:jc w:val="center"/>
        </w:trPr>
        <w:tc>
          <w:tcPr>
            <w:tcW w:w="0" w:type="auto"/>
            <w:vMerge w:val="restart"/>
            <w:tcBorders>
              <w:top w:val="nil"/>
              <w:left w:val="single" w:sz="4" w:space="0" w:color="auto"/>
              <w:bottom w:val="nil"/>
              <w:right w:val="single" w:sz="4" w:space="0" w:color="auto"/>
            </w:tcBorders>
            <w:vAlign w:val="center"/>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Inversiones Ambientales Sostenibles.</w:t>
            </w:r>
          </w:p>
        </w:tc>
        <w:tc>
          <w:tcPr>
            <w:tcW w:w="0" w:type="auto"/>
            <w:tcBorders>
              <w:top w:val="single" w:sz="4" w:space="0" w:color="auto"/>
              <w:left w:val="nil"/>
              <w:bottom w:val="single" w:sz="4" w:space="0" w:color="auto"/>
              <w:right w:val="single" w:sz="4" w:space="0" w:color="auto"/>
            </w:tcBorders>
          </w:tcPr>
          <w:p>
            <w:pPr>
              <w:pStyle w:val="style0"/>
              <w:jc w:val="both"/>
              <w:rPr>
                <w:rFonts w:ascii="Arial" w:cs="Arial" w:eastAsia="Times New Roman" w:hAnsi="Arial"/>
                <w:sz w:val="18"/>
                <w:szCs w:val="18"/>
                <w:lang w:eastAsia="es-CO"/>
              </w:rPr>
            </w:pPr>
          </w:p>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Formulación, consolidación y/o implementación de PROCEDA</w:t>
            </w:r>
          </w:p>
          <w:p>
            <w:pPr>
              <w:pStyle w:val="style0"/>
              <w:jc w:val="center"/>
              <w:rPr>
                <w:rFonts w:ascii="Arial" w:cs="Arial" w:eastAsia="Times New Roman" w:hAnsi="Arial"/>
                <w:sz w:val="18"/>
                <w:szCs w:val="18"/>
                <w:lang w:eastAsia="es-CO"/>
              </w:rPr>
            </w:pPr>
          </w:p>
        </w:tc>
        <w:tc>
          <w:tcPr>
            <w:tcW w:w="0" w:type="auto"/>
            <w:tcBorders>
              <w:top w:val="nil"/>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Educación ambiental.</w:t>
            </w:r>
          </w:p>
        </w:tc>
      </w:tr>
      <w:tr>
        <w:tblPrEx/>
        <w:trPr>
          <w:trHeight w:val="313" w:hRule="atLeast"/>
          <w:jc w:val="center"/>
        </w:trPr>
        <w:tc>
          <w:tcPr>
            <w:tcW w:w="0" w:type="auto"/>
            <w:vMerge w:val="continue"/>
            <w:tcBorders>
              <w:top w:val="nil"/>
              <w:left w:val="single" w:sz="4" w:space="0" w:color="auto"/>
              <w:bottom w:val="nil"/>
              <w:right w:val="single" w:sz="4" w:space="0" w:color="auto"/>
            </w:tcBorders>
            <w:vAlign w:val="center"/>
            <w:hideMark/>
          </w:tcPr>
          <w:p>
            <w:pPr>
              <w:pStyle w:val="style0"/>
              <w:spacing w:after="0"/>
              <w:rPr>
                <w:rFonts w:ascii="Arial" w:cs="Arial" w:eastAsia="Times New Roman" w:hAnsi="Arial"/>
                <w:sz w:val="18"/>
                <w:szCs w:val="18"/>
                <w:lang w:eastAsia="es-CO"/>
              </w:rPr>
            </w:pPr>
          </w:p>
        </w:tc>
        <w:tc>
          <w:tcPr>
            <w:tcW w:w="0" w:type="auto"/>
            <w:tcBorders>
              <w:top w:val="single" w:sz="4" w:space="0" w:color="auto"/>
              <w:left w:val="nil"/>
              <w:bottom w:val="single" w:sz="4" w:space="0" w:color="auto"/>
              <w:right w:val="single" w:sz="4" w:space="0" w:color="auto"/>
            </w:tcBorders>
          </w:tcPr>
          <w:p>
            <w:pPr>
              <w:pStyle w:val="style0"/>
              <w:jc w:val="center"/>
              <w:rPr>
                <w:rFonts w:ascii="Arial" w:cs="Arial" w:eastAsia="Times New Roman" w:hAnsi="Arial"/>
                <w:sz w:val="18"/>
                <w:szCs w:val="18"/>
                <w:lang w:eastAsia="es-CO"/>
              </w:rPr>
            </w:pPr>
          </w:p>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 xml:space="preserve">Fortalecimiento de procesos base para la identificación, monitoreo y mitigación del riesgo </w:t>
            </w:r>
          </w:p>
        </w:tc>
        <w:tc>
          <w:tcPr>
            <w:tcW w:w="0" w:type="auto"/>
            <w:tcBorders>
              <w:top w:val="nil"/>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Manejo de emergencias y desastres.</w:t>
            </w:r>
          </w:p>
        </w:tc>
      </w:tr>
      <w:tr>
        <w:tblPrEx/>
        <w:trPr>
          <w:trHeight w:val="313" w:hRule="atLeast"/>
          <w:jc w:val="center"/>
        </w:trPr>
        <w:tc>
          <w:tcPr>
            <w:tcW w:w="0" w:type="auto"/>
            <w:vMerge w:val="continue"/>
            <w:tcBorders>
              <w:top w:val="nil"/>
              <w:left w:val="single" w:sz="4" w:space="0" w:color="auto"/>
              <w:bottom w:val="nil"/>
              <w:right w:val="single" w:sz="4" w:space="0" w:color="auto"/>
            </w:tcBorders>
            <w:vAlign w:val="center"/>
            <w:hideMark/>
          </w:tcPr>
          <w:p>
            <w:pPr>
              <w:pStyle w:val="style0"/>
              <w:spacing w:after="0"/>
              <w:rPr>
                <w:rFonts w:ascii="Arial" w:cs="Arial" w:eastAsia="Times New Roman" w:hAnsi="Arial"/>
                <w:sz w:val="18"/>
                <w:szCs w:val="18"/>
                <w:lang w:eastAsia="es-CO"/>
              </w:rPr>
            </w:pPr>
          </w:p>
        </w:tc>
        <w:tc>
          <w:tcPr>
            <w:tcW w:w="0" w:type="auto"/>
            <w:tcBorders>
              <w:top w:val="single" w:sz="4" w:space="0" w:color="auto"/>
              <w:left w:val="nil"/>
              <w:bottom w:val="single" w:sz="4" w:space="0" w:color="auto"/>
              <w:right w:val="single" w:sz="4" w:space="0" w:color="auto"/>
            </w:tcBorders>
          </w:tcPr>
          <w:p>
            <w:pPr>
              <w:pStyle w:val="style0"/>
              <w:jc w:val="center"/>
              <w:rPr>
                <w:rFonts w:ascii="Arial" w:cs="Arial" w:eastAsia="Times New Roman" w:hAnsi="Arial"/>
                <w:sz w:val="18"/>
                <w:szCs w:val="18"/>
                <w:lang w:eastAsia="es-CO"/>
              </w:rPr>
            </w:pPr>
          </w:p>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Mitigación de impactos por remoción de masa en sendero Vicachá</w:t>
            </w:r>
          </w:p>
        </w:tc>
        <w:tc>
          <w:tcPr>
            <w:tcW w:w="0" w:type="auto"/>
            <w:tcBorders>
              <w:top w:val="nil"/>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Mitigación del riesgo.</w:t>
            </w:r>
          </w:p>
        </w:tc>
      </w:tr>
      <w:tr>
        <w:tblPrEx/>
        <w:trPr>
          <w:trHeight w:val="440" w:hRule="atLeast"/>
          <w:jc w:val="center"/>
        </w:trPr>
        <w:tc>
          <w:tcPr>
            <w:tcW w:w="0" w:type="auto"/>
            <w:vMerge w:val="continue"/>
            <w:tcBorders>
              <w:top w:val="nil"/>
              <w:left w:val="single" w:sz="4" w:space="0" w:color="auto"/>
              <w:bottom w:val="nil"/>
              <w:right w:val="single" w:sz="4" w:space="0" w:color="auto"/>
            </w:tcBorders>
            <w:vAlign w:val="center"/>
            <w:hideMark/>
          </w:tcPr>
          <w:p>
            <w:pPr>
              <w:pStyle w:val="style0"/>
              <w:spacing w:after="0"/>
              <w:rPr>
                <w:rFonts w:ascii="Arial" w:cs="Arial" w:eastAsia="Times New Roman" w:hAnsi="Arial"/>
                <w:sz w:val="18"/>
                <w:szCs w:val="18"/>
                <w:lang w:eastAsia="es-CO"/>
              </w:rPr>
            </w:pPr>
          </w:p>
        </w:tc>
        <w:tc>
          <w:tcPr>
            <w:tcW w:w="0" w:type="auto"/>
            <w:tcBorders>
              <w:top w:val="single" w:sz="4" w:space="0" w:color="auto"/>
              <w:left w:val="nil"/>
              <w:bottom w:val="single" w:sz="4" w:space="0" w:color="auto"/>
              <w:right w:val="single" w:sz="4" w:space="0" w:color="auto"/>
            </w:tcBorders>
          </w:tcPr>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 xml:space="preserve">Embellecimiento en zonas de ZMPA, extracción de residuos y manejo silvicultural en quebradas (incluido retamo) </w:t>
            </w:r>
          </w:p>
        </w:tc>
        <w:tc>
          <w:tcPr>
            <w:tcW w:w="0" w:type="auto"/>
            <w:tcBorders>
              <w:top w:val="nil"/>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Restauración ecológica urbana y/o rural.</w:t>
            </w:r>
          </w:p>
        </w:tc>
      </w:tr>
      <w:tr>
        <w:tblPrEx/>
        <w:trPr>
          <w:trHeight w:val="313" w:hRule="atLeast"/>
          <w:jc w:val="center"/>
        </w:trPr>
        <w:tc>
          <w:tcPr>
            <w:tcW w:w="0" w:type="auto"/>
            <w:tcBorders>
              <w:top w:val="single" w:sz="4" w:space="0" w:color="auto"/>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Infraestructura</w:t>
            </w:r>
          </w:p>
        </w:tc>
        <w:tc>
          <w:tcPr>
            <w:tcW w:w="0" w:type="auto"/>
            <w:tcBorders>
              <w:top w:val="single" w:sz="4" w:space="0" w:color="auto"/>
              <w:left w:val="nil"/>
              <w:bottom w:val="single" w:sz="4" w:space="0" w:color="auto"/>
              <w:right w:val="single" w:sz="4" w:space="0" w:color="auto"/>
            </w:tcBorders>
          </w:tcPr>
          <w:p>
            <w:pPr>
              <w:pStyle w:val="style0"/>
              <w:jc w:val="both"/>
              <w:rPr>
                <w:rFonts w:ascii="Arial" w:cs="Arial" w:eastAsia="Times New Roman" w:hAnsi="Arial"/>
                <w:sz w:val="18"/>
                <w:szCs w:val="18"/>
                <w:lang w:eastAsia="es-CO"/>
              </w:rPr>
            </w:pPr>
          </w:p>
          <w:p>
            <w:pPr>
              <w:pStyle w:val="style0"/>
              <w:jc w:val="center"/>
              <w:rPr>
                <w:rFonts w:ascii="Arial" w:cs="Arial" w:eastAsia="Times New Roman" w:hAnsi="Arial"/>
                <w:sz w:val="18"/>
                <w:szCs w:val="18"/>
                <w:lang w:eastAsia="es-CO"/>
              </w:rPr>
            </w:pPr>
            <w:r>
              <w:rPr>
                <w:rFonts w:ascii="Arial" w:cs="Arial" w:eastAsia="Times New Roman" w:hAnsi="Arial"/>
                <w:sz w:val="18"/>
                <w:szCs w:val="18"/>
                <w:lang w:eastAsia="es-CO"/>
              </w:rPr>
              <w:t>Fortalecimiento de la oferta para recreación activa y pasiva</w:t>
            </w:r>
          </w:p>
        </w:tc>
        <w:tc>
          <w:tcPr>
            <w:tcW w:w="0" w:type="auto"/>
            <w:tcBorders>
              <w:top w:val="single" w:sz="4" w:space="0" w:color="auto"/>
              <w:left w:val="single" w:sz="4" w:space="0" w:color="auto"/>
              <w:bottom w:val="single" w:sz="4" w:space="0" w:color="auto"/>
              <w:right w:val="single" w:sz="4" w:space="0" w:color="auto"/>
            </w:tcBorders>
            <w:vAlign w:val="center"/>
            <w:hideMark/>
          </w:tcPr>
          <w:p>
            <w:pPr>
              <w:pStyle w:val="style0"/>
              <w:jc w:val="both"/>
              <w:rPr>
                <w:rFonts w:ascii="Arial" w:cs="Arial" w:eastAsia="Times New Roman" w:hAnsi="Arial"/>
                <w:sz w:val="18"/>
                <w:szCs w:val="18"/>
                <w:lang w:eastAsia="es-CO"/>
              </w:rPr>
            </w:pPr>
            <w:r>
              <w:rPr>
                <w:rFonts w:ascii="Arial" w:cs="Arial" w:eastAsia="Times New Roman" w:hAnsi="Arial"/>
                <w:sz w:val="18"/>
                <w:szCs w:val="18"/>
                <w:lang w:eastAsia="es-CO"/>
              </w:rPr>
              <w:t>Construcción, mantenimiento y dotación de parques vecinales y/o de bolsillo.</w:t>
            </w:r>
          </w:p>
        </w:tc>
      </w:tr>
    </w:tbl>
    <w:p>
      <w:pPr>
        <w:pStyle w:val="style0"/>
        <w:rPr>
          <w:rFonts w:ascii="Arial" w:cs="Arial" w:hAnsi="Arial"/>
          <w:b/>
          <w:bCs/>
        </w:rPr>
      </w:pPr>
    </w:p>
    <w:p>
      <w:pPr>
        <w:pStyle w:val="style0"/>
        <w:rPr>
          <w:rFonts w:ascii="Arial" w:cs="Arial" w:hAnsi="Arial"/>
          <w:b/>
          <w:bCs/>
        </w:rPr>
      </w:pPr>
      <w:r>
        <w:rPr>
          <w:rFonts w:ascii="Arial" w:cs="Arial" w:hAnsi="Arial"/>
          <w:b/>
          <w:bCs/>
        </w:rPr>
        <w:t>COVID -19, contexto ambiental</w:t>
      </w:r>
    </w:p>
    <w:p>
      <w:pPr>
        <w:pStyle w:val="style0"/>
        <w:jc w:val="both"/>
        <w:rPr>
          <w:rFonts w:ascii="Arial" w:cs="Arial" w:hAnsi="Arial"/>
        </w:rPr>
      </w:pPr>
      <w:r>
        <w:rPr>
          <w:rFonts w:ascii="Arial" w:cs="Arial" w:hAnsi="Arial"/>
        </w:rPr>
        <w:t xml:space="preserve">Con el </w:t>
      </w:r>
      <w:r>
        <w:rPr>
          <w:rFonts w:ascii="Arial" w:cs="Arial" w:hAnsi="Arial"/>
        </w:rPr>
        <w:t>ánimo</w:t>
      </w:r>
      <w:r>
        <w:rPr>
          <w:rFonts w:ascii="Arial" w:cs="Arial" w:hAnsi="Arial"/>
        </w:rPr>
        <w:t xml:space="preserve"> de dar cumplimiento a la atención generada por la actual pandemia, la administración local ha venido desarrollando las siguientes acciones con el animo de proteger la comunidad: </w:t>
      </w:r>
    </w:p>
    <w:p>
      <w:pPr>
        <w:pStyle w:val="style179"/>
        <w:numPr>
          <w:ilvl w:val="0"/>
          <w:numId w:val="9"/>
        </w:numPr>
        <w:jc w:val="both"/>
        <w:rPr>
          <w:rFonts w:ascii="Arial" w:cs="Arial" w:hAnsi="Arial"/>
        </w:rPr>
      </w:pPr>
      <w:r>
        <w:rPr>
          <w:rFonts w:ascii="Arial" w:cs="Arial" w:hAnsi="Arial"/>
        </w:rPr>
        <w:t>Operativos de control en espacio público.</w:t>
      </w:r>
    </w:p>
    <w:p>
      <w:pPr>
        <w:pStyle w:val="style179"/>
        <w:numPr>
          <w:ilvl w:val="0"/>
          <w:numId w:val="9"/>
        </w:numPr>
        <w:jc w:val="both"/>
        <w:rPr>
          <w:rFonts w:ascii="Arial" w:cs="Arial" w:hAnsi="Arial"/>
        </w:rPr>
      </w:pPr>
      <w:r>
        <w:rPr>
          <w:rFonts w:ascii="Arial" w:cs="Arial" w:hAnsi="Arial"/>
        </w:rPr>
        <w:t>Jornadas de desinfección en espacio público.</w:t>
      </w:r>
    </w:p>
    <w:p>
      <w:pPr>
        <w:pStyle w:val="style179"/>
        <w:numPr>
          <w:ilvl w:val="0"/>
          <w:numId w:val="9"/>
        </w:numPr>
        <w:jc w:val="both"/>
        <w:rPr>
          <w:rFonts w:ascii="Arial" w:cs="Arial" w:hAnsi="Arial"/>
        </w:rPr>
      </w:pPr>
      <w:r>
        <w:rPr>
          <w:rFonts w:ascii="Arial" w:cs="Arial" w:hAnsi="Arial"/>
        </w:rPr>
        <w:t xml:space="preserve">Control policivo para garantizar el cumplimiento de directrices de Alcaldía Mayor. </w:t>
      </w:r>
    </w:p>
    <w:p>
      <w:pPr>
        <w:pStyle w:val="style179"/>
        <w:numPr>
          <w:ilvl w:val="0"/>
          <w:numId w:val="9"/>
        </w:numPr>
        <w:jc w:val="both"/>
        <w:rPr>
          <w:rFonts w:ascii="Arial" w:cs="Arial" w:hAnsi="Arial"/>
        </w:rPr>
      </w:pPr>
      <w:r>
        <w:rPr>
          <w:rFonts w:ascii="Arial" w:cs="Arial" w:hAnsi="Arial"/>
        </w:rPr>
        <w:t xml:space="preserve">Promoción para el cumplimiento para distanciamiento y demás protocolos de prevención. </w:t>
      </w:r>
    </w:p>
    <w:p>
      <w:pPr>
        <w:pStyle w:val="style179"/>
        <w:numPr>
          <w:ilvl w:val="0"/>
          <w:numId w:val="9"/>
        </w:numPr>
        <w:jc w:val="both"/>
        <w:rPr>
          <w:rFonts w:ascii="Arial" w:cs="Arial" w:hAnsi="Arial"/>
        </w:rPr>
      </w:pPr>
      <w:r>
        <w:rPr>
          <w:rFonts w:ascii="Arial" w:cs="Arial" w:hAnsi="Arial"/>
        </w:rPr>
        <w:t xml:space="preserve">Promoción para toma de pruebas. </w:t>
      </w:r>
    </w:p>
    <w:p>
      <w:pPr>
        <w:pStyle w:val="style0"/>
        <w:rPr>
          <w:rFonts w:ascii="Arial" w:cs="Arial" w:hAnsi="Arial"/>
        </w:rPr>
      </w:pPr>
    </w:p>
    <w:p>
      <w:pPr>
        <w:pStyle w:val="style0"/>
        <w:rPr>
          <w:rFonts w:ascii="Arial" w:cs="Arial" w:hAnsi="Arial"/>
          <w:b/>
          <w:bCs/>
        </w:rPr>
      </w:pPr>
      <w:r>
        <w:rPr>
          <w:rFonts w:ascii="Arial" w:cs="Arial" w:hAnsi="Arial"/>
          <w:b/>
          <w:bCs/>
        </w:rPr>
        <w:t>Residuos</w:t>
      </w:r>
      <w:r>
        <w:rPr>
          <w:rFonts w:ascii="Arial" w:cs="Arial" w:hAnsi="Arial"/>
          <w:b/>
          <w:bCs/>
        </w:rPr>
        <w:t xml:space="preserve"> Sólidos</w:t>
      </w:r>
      <w:r>
        <w:rPr>
          <w:rFonts w:ascii="Arial" w:cs="Arial" w:hAnsi="Arial"/>
          <w:b/>
          <w:bCs/>
        </w:rPr>
        <w:t xml:space="preserve"> </w:t>
      </w:r>
    </w:p>
    <w:p>
      <w:pPr>
        <w:pStyle w:val="style0"/>
        <w:jc w:val="both"/>
        <w:rPr>
          <w:rFonts w:ascii="Arial" w:cs="Arial" w:hAnsi="Arial"/>
        </w:rPr>
      </w:pPr>
      <w:r>
        <w:rPr>
          <w:rFonts w:ascii="Arial" w:cs="Arial" w:hAnsi="Arial"/>
        </w:rPr>
        <w:t xml:space="preserve">Se han detectado puntos críticos </w:t>
      </w:r>
      <w:r>
        <w:rPr>
          <w:rFonts w:ascii="Arial" w:cs="Arial" w:hAnsi="Arial"/>
        </w:rPr>
        <w:t>e</w:t>
      </w:r>
      <w:r>
        <w:rPr>
          <w:rFonts w:ascii="Arial" w:cs="Arial" w:hAnsi="Arial"/>
        </w:rPr>
        <w:t>n</w:t>
      </w:r>
      <w:r>
        <w:rPr>
          <w:rFonts w:ascii="Arial" w:cs="Arial" w:hAnsi="Arial"/>
        </w:rPr>
        <w:t xml:space="preserve"> espacio público, particularmente en </w:t>
      </w:r>
      <w:r>
        <w:rPr>
          <w:rFonts w:ascii="Arial" w:cs="Arial" w:hAnsi="Arial"/>
        </w:rPr>
        <w:t>ecosistemas de la estructura ecológica principa</w:t>
      </w:r>
      <w:r>
        <w:rPr>
          <w:rFonts w:ascii="Arial" w:cs="Arial" w:hAnsi="Arial"/>
        </w:rPr>
        <w:t xml:space="preserve">l y en otras áreas del espacio público. </w:t>
      </w:r>
    </w:p>
    <w:p>
      <w:pPr>
        <w:pStyle w:val="style0"/>
        <w:jc w:val="both"/>
        <w:rPr>
          <w:rFonts w:ascii="Arial" w:cs="Arial" w:hAnsi="Arial"/>
        </w:rPr>
      </w:pPr>
      <w:r>
        <w:rPr>
          <w:rFonts w:ascii="Arial" w:cs="Arial" w:hAnsi="Arial"/>
        </w:rPr>
        <w:t xml:space="preserve">Actualmente se vienen adelantando gestiones de educación, sensibilización y promoción con la empresa operadora de aseo. La mayor dificultad que se presenta es la ausencia de separación desde la fuente, la inadecuada disposición de residuos, el impacto negativo generado por el habitante de calle, la afectación a contendores, roedores, vectores (insectos) y la mínima atención a los horarios de recolección por parte de la empresa operadora de aseo.    </w:t>
      </w:r>
      <w:r>
        <w:rPr>
          <w:rFonts w:ascii="Arial" w:cs="Arial" w:hAnsi="Arial"/>
        </w:rPr>
        <w:t xml:space="preserve"> </w:t>
      </w:r>
    </w:p>
    <w:p>
      <w:pPr>
        <w:pStyle w:val="style0"/>
        <w:rPr>
          <w:rFonts w:ascii="Arial" w:cs="Arial" w:hAnsi="Arial"/>
        </w:rPr>
      </w:pPr>
    </w:p>
    <w:p>
      <w:pPr>
        <w:pStyle w:val="style0"/>
        <w:rPr>
          <w:rFonts w:ascii="Arial" w:cs="Arial" w:hAnsi="Arial"/>
          <w:b/>
          <w:bCs/>
        </w:rPr>
      </w:pPr>
      <w:r>
        <w:rPr>
          <w:rFonts w:ascii="Arial" w:cs="Arial" w:hAnsi="Arial"/>
          <w:b/>
          <w:bCs/>
        </w:rPr>
        <w:t xml:space="preserve">Riesgos </w:t>
      </w:r>
      <w:r>
        <w:rPr>
          <w:rFonts w:ascii="Arial" w:cs="Arial" w:hAnsi="Arial"/>
          <w:b/>
          <w:bCs/>
        </w:rPr>
        <w:t>– impactos ambientales</w:t>
      </w:r>
    </w:p>
    <w:p>
      <w:pPr>
        <w:pStyle w:val="style0"/>
        <w:rPr>
          <w:rFonts w:ascii="Arial" w:cs="Arial" w:hAnsi="Arial"/>
        </w:rPr>
      </w:pPr>
      <w:r>
        <w:rPr>
          <w:rFonts w:ascii="Arial" w:cs="Arial" w:hAnsi="Arial"/>
        </w:rPr>
        <w:t xml:space="preserve">A continuación, se relacionan de forma general algunos riesgos y problemas ambientales de la localidad de la Candelaria: </w:t>
      </w:r>
    </w:p>
    <w:p>
      <w:pPr>
        <w:pStyle w:val="style179"/>
        <w:numPr>
          <w:ilvl w:val="0"/>
          <w:numId w:val="10"/>
        </w:numPr>
        <w:jc w:val="both"/>
        <w:rPr>
          <w:rFonts w:ascii="Arial" w:cs="Arial" w:hAnsi="Arial"/>
        </w:rPr>
      </w:pPr>
      <w:r>
        <w:rPr>
          <w:rFonts w:ascii="Arial" w:cs="Arial" w:hAnsi="Arial"/>
        </w:rPr>
        <w:t>Remoción de masa en las zonas altas – oriente de la localidad</w:t>
      </w:r>
      <w:r>
        <w:rPr>
          <w:rFonts w:ascii="Arial" w:cs="Arial" w:hAnsi="Arial"/>
        </w:rPr>
        <w:t>.</w:t>
      </w:r>
    </w:p>
    <w:p>
      <w:pPr>
        <w:pStyle w:val="style179"/>
        <w:numPr>
          <w:ilvl w:val="0"/>
          <w:numId w:val="10"/>
        </w:numPr>
        <w:jc w:val="both"/>
        <w:rPr>
          <w:rFonts w:ascii="Arial" w:cs="Arial" w:hAnsi="Arial"/>
        </w:rPr>
      </w:pPr>
      <w:r>
        <w:rPr>
          <w:rFonts w:ascii="Arial" w:cs="Arial" w:hAnsi="Arial"/>
        </w:rPr>
        <w:t xml:space="preserve">Volcamiento de arbolado. </w:t>
      </w:r>
    </w:p>
    <w:p>
      <w:pPr>
        <w:pStyle w:val="style179"/>
        <w:numPr>
          <w:ilvl w:val="0"/>
          <w:numId w:val="10"/>
        </w:numPr>
        <w:jc w:val="both"/>
        <w:rPr>
          <w:rFonts w:ascii="Arial" w:cs="Arial" w:hAnsi="Arial"/>
        </w:rPr>
      </w:pPr>
      <w:r>
        <w:rPr>
          <w:rFonts w:ascii="Arial" w:cs="Arial" w:hAnsi="Arial"/>
        </w:rPr>
        <w:t>Habitante de calle.</w:t>
      </w:r>
    </w:p>
    <w:p>
      <w:pPr>
        <w:pStyle w:val="style179"/>
        <w:numPr>
          <w:ilvl w:val="0"/>
          <w:numId w:val="10"/>
        </w:numPr>
        <w:jc w:val="both"/>
        <w:rPr>
          <w:rFonts w:ascii="Arial" w:cs="Arial" w:hAnsi="Arial"/>
        </w:rPr>
      </w:pPr>
      <w:r>
        <w:rPr>
          <w:rFonts w:ascii="Arial" w:cs="Arial" w:hAnsi="Arial"/>
        </w:rPr>
        <w:t xml:space="preserve">Inadecuada disposición de residuos por parte de la comunidad. </w:t>
      </w:r>
    </w:p>
    <w:p>
      <w:pPr>
        <w:pStyle w:val="style179"/>
        <w:numPr>
          <w:ilvl w:val="0"/>
          <w:numId w:val="10"/>
        </w:numPr>
        <w:jc w:val="both"/>
        <w:rPr>
          <w:rFonts w:ascii="Arial" w:cs="Arial" w:hAnsi="Arial"/>
        </w:rPr>
      </w:pPr>
      <w:r>
        <w:rPr>
          <w:rFonts w:ascii="Arial" w:cs="Arial" w:hAnsi="Arial"/>
        </w:rPr>
        <w:t xml:space="preserve">Conatos – </w:t>
      </w:r>
      <w:r>
        <w:rPr>
          <w:rFonts w:ascii="Arial" w:cs="Arial" w:hAnsi="Arial"/>
        </w:rPr>
        <w:t xml:space="preserve">incendios forestales en zonas de ZMPA </w:t>
      </w:r>
      <w:r>
        <w:rPr>
          <w:rFonts w:ascii="Arial" w:cs="Arial" w:hAnsi="Arial"/>
        </w:rPr>
        <w:t xml:space="preserve">(alrededor de zonas hídricas) </w:t>
      </w:r>
      <w:r>
        <w:rPr>
          <w:rFonts w:ascii="Arial" w:cs="Arial" w:hAnsi="Arial"/>
        </w:rPr>
        <w:t xml:space="preserve">por inadecuada disposición de residuos sólidos. </w:t>
      </w:r>
    </w:p>
    <w:p>
      <w:pPr>
        <w:pStyle w:val="style179"/>
        <w:numPr>
          <w:ilvl w:val="0"/>
          <w:numId w:val="10"/>
        </w:numPr>
        <w:jc w:val="both"/>
        <w:rPr>
          <w:rFonts w:ascii="Arial" w:cs="Arial" w:hAnsi="Arial"/>
        </w:rPr>
      </w:pPr>
      <w:r>
        <w:rPr>
          <w:rFonts w:ascii="Arial" w:cs="Arial" w:hAnsi="Arial"/>
          <w:shd w:val="clear" w:color="auto" w:fill="ffffff"/>
        </w:rPr>
        <w:t>Enfermedades como la histoplasmosis, la salmonelosis, la psitacosis, la criptococosis y la dermatitis</w:t>
      </w:r>
      <w:r>
        <w:rPr>
          <w:rFonts w:ascii="Arial" w:cs="Arial" w:hAnsi="Arial"/>
          <w:shd w:val="clear" w:color="auto" w:fill="ffffff"/>
        </w:rPr>
        <w:t xml:space="preserve"> por </w:t>
      </w:r>
      <w:r>
        <w:rPr>
          <w:rFonts w:ascii="Arial" w:cs="Arial" w:hAnsi="Arial"/>
        </w:rPr>
        <w:t xml:space="preserve">Palomas. </w:t>
      </w:r>
      <w:r>
        <w:rPr>
          <w:rFonts w:ascii="Arial" w:cs="Arial" w:hAnsi="Arial"/>
        </w:rPr>
        <w:t>(V</w:t>
      </w:r>
      <w:r>
        <w:rPr>
          <w:rFonts w:ascii="Arial" w:cs="Arial" w:hAnsi="Arial"/>
        </w:rPr>
        <w:t>irus, hongos, bacterias y fuertes alergias en la piel</w:t>
      </w:r>
      <w:r>
        <w:rPr>
          <w:rFonts w:ascii="Arial" w:cs="Arial" w:hAnsi="Arial"/>
        </w:rPr>
        <w:t>)</w:t>
      </w:r>
    </w:p>
    <w:p>
      <w:pPr>
        <w:pStyle w:val="style179"/>
        <w:numPr>
          <w:ilvl w:val="0"/>
          <w:numId w:val="10"/>
        </w:numPr>
        <w:jc w:val="both"/>
        <w:rPr>
          <w:rFonts w:ascii="Arial" w:cs="Arial" w:hAnsi="Arial"/>
        </w:rPr>
      </w:pPr>
      <w:r>
        <w:rPr>
          <w:rFonts w:ascii="Arial" w:cs="Arial" w:hAnsi="Arial"/>
        </w:rPr>
        <w:t xml:space="preserve">Aumento de roedores asociados al inadecuado manejo de residuos. </w:t>
      </w:r>
    </w:p>
    <w:p>
      <w:pPr>
        <w:pStyle w:val="style179"/>
        <w:numPr>
          <w:ilvl w:val="0"/>
          <w:numId w:val="10"/>
        </w:numPr>
        <w:jc w:val="both"/>
        <w:rPr>
          <w:rFonts w:ascii="Arial" w:cs="Arial" w:hAnsi="Arial"/>
        </w:rPr>
      </w:pPr>
      <w:r>
        <w:rPr>
          <w:rFonts w:ascii="Arial" w:cs="Arial" w:hAnsi="Arial"/>
        </w:rPr>
        <w:t xml:space="preserve">Riesgo químico por residuos por practica </w:t>
      </w:r>
      <w:r>
        <w:rPr>
          <w:rFonts w:ascii="Arial" w:cs="Arial" w:hAnsi="Arial"/>
        </w:rPr>
        <w:t>de joyerías</w:t>
      </w:r>
    </w:p>
    <w:p>
      <w:pPr>
        <w:pStyle w:val="style179"/>
        <w:numPr>
          <w:ilvl w:val="0"/>
          <w:numId w:val="10"/>
        </w:numPr>
        <w:jc w:val="both"/>
        <w:rPr>
          <w:rFonts w:ascii="Arial" w:cs="Arial" w:hAnsi="Arial"/>
        </w:rPr>
      </w:pPr>
      <w:r>
        <w:rPr>
          <w:rFonts w:ascii="Arial" w:cs="Arial" w:hAnsi="Arial"/>
        </w:rPr>
        <w:t xml:space="preserve">Presencia de retamo espinoso que genera incendios y afecta ecológicamente. </w:t>
      </w:r>
    </w:p>
    <w:p>
      <w:pPr>
        <w:pStyle w:val="style179"/>
        <w:numPr>
          <w:ilvl w:val="0"/>
          <w:numId w:val="10"/>
        </w:numPr>
        <w:jc w:val="both"/>
        <w:rPr>
          <w:rFonts w:ascii="Arial" w:cs="Arial" w:hAnsi="Arial"/>
        </w:rPr>
      </w:pPr>
      <w:r>
        <w:rPr>
          <w:rFonts w:ascii="Arial" w:cs="Arial" w:hAnsi="Arial"/>
        </w:rPr>
        <w:t>Falta o daño en luminarias.</w:t>
      </w:r>
    </w:p>
    <w:p>
      <w:pPr>
        <w:pStyle w:val="style179"/>
        <w:numPr>
          <w:ilvl w:val="0"/>
          <w:numId w:val="10"/>
        </w:numPr>
        <w:jc w:val="both"/>
        <w:rPr>
          <w:rFonts w:ascii="Arial" w:cs="Arial" w:hAnsi="Arial"/>
        </w:rPr>
      </w:pPr>
      <w:r>
        <w:rPr>
          <w:rFonts w:ascii="Arial" w:cs="Arial" w:hAnsi="Arial"/>
        </w:rPr>
        <w:t xml:space="preserve">Falta de mantenimiento al arbolado en estructura ecológica principal local. </w:t>
      </w:r>
    </w:p>
    <w:p>
      <w:pPr>
        <w:pStyle w:val="style179"/>
        <w:numPr>
          <w:ilvl w:val="0"/>
          <w:numId w:val="10"/>
        </w:numPr>
        <w:jc w:val="both"/>
        <w:rPr>
          <w:rFonts w:ascii="Arial" w:cs="Arial" w:hAnsi="Arial"/>
        </w:rPr>
      </w:pPr>
      <w:r>
        <w:rPr>
          <w:rFonts w:ascii="Arial" w:cs="Arial" w:hAnsi="Arial"/>
        </w:rPr>
        <w:t xml:space="preserve">Obstrucción del sistema de alcantarillado por arenas, residuos sólidos y ausencia de tapas. </w:t>
      </w:r>
    </w:p>
    <w:p>
      <w:pPr>
        <w:pStyle w:val="style179"/>
        <w:numPr>
          <w:ilvl w:val="0"/>
          <w:numId w:val="10"/>
        </w:numPr>
        <w:jc w:val="both"/>
        <w:rPr>
          <w:rFonts w:ascii="Arial" w:cs="Arial" w:hAnsi="Arial"/>
        </w:rPr>
      </w:pPr>
      <w:r>
        <w:rPr>
          <w:rFonts w:ascii="Arial" w:cs="Arial" w:hAnsi="Arial"/>
        </w:rPr>
        <w:t xml:space="preserve">Mal estado de parques. </w:t>
      </w:r>
    </w:p>
    <w:p>
      <w:pPr>
        <w:pStyle w:val="style179"/>
        <w:numPr>
          <w:ilvl w:val="0"/>
          <w:numId w:val="10"/>
        </w:numPr>
        <w:jc w:val="both"/>
        <w:rPr>
          <w:rFonts w:ascii="Arial" w:cs="Arial" w:hAnsi="Arial"/>
        </w:rPr>
      </w:pPr>
      <w:r>
        <w:rPr>
          <w:rFonts w:ascii="Arial" w:cs="Arial" w:hAnsi="Arial"/>
        </w:rPr>
        <w:t>Contaminación del a</w:t>
      </w:r>
      <w:r>
        <w:rPr>
          <w:rFonts w:ascii="Arial" w:cs="Arial" w:hAnsi="Arial"/>
        </w:rPr>
        <w:t>i</w:t>
      </w:r>
      <w:r>
        <w:rPr>
          <w:rFonts w:ascii="Arial" w:cs="Arial" w:hAnsi="Arial"/>
        </w:rPr>
        <w:t xml:space="preserve">re por fuentes móviles. </w:t>
      </w:r>
    </w:p>
    <w:p>
      <w:pPr>
        <w:pStyle w:val="style0"/>
        <w:jc w:val="center"/>
        <w:rPr>
          <w:rFonts w:ascii="Arial" w:cs="Arial" w:hAnsi="Arial"/>
          <w:lang w:val="es-MX"/>
        </w:rPr>
      </w:pPr>
    </w:p>
    <w:bookmarkStart w:id="28" w:name="_Toc47477400"/>
    <w:p>
      <w:pPr>
        <w:pStyle w:val="style2"/>
        <w:rPr>
          <w:rFonts w:ascii="Arial" w:cs="Arial" w:hAnsi="Arial"/>
          <w:color w:val="auto"/>
          <w:sz w:val="22"/>
          <w:szCs w:val="22"/>
          <w:lang w:val="es-MX"/>
        </w:rPr>
      </w:pPr>
      <w:r>
        <w:rPr>
          <w:rFonts w:ascii="Arial" w:cs="Arial" w:hAnsi="Arial"/>
          <w:color w:val="auto"/>
          <w:sz w:val="22"/>
          <w:szCs w:val="22"/>
          <w:lang w:val="es-MX"/>
        </w:rPr>
        <w:t xml:space="preserve">DESARROLLO </w:t>
      </w:r>
      <w:r>
        <w:rPr>
          <w:rFonts w:ascii="Arial" w:cs="Arial" w:hAnsi="Arial"/>
          <w:color w:val="auto"/>
          <w:sz w:val="22"/>
          <w:szCs w:val="22"/>
          <w:lang w:val="es-MX"/>
        </w:rPr>
        <w:t>D</w:t>
      </w:r>
      <w:r>
        <w:rPr>
          <w:rFonts w:ascii="Arial" w:cs="Arial" w:hAnsi="Arial"/>
          <w:color w:val="auto"/>
          <w:sz w:val="22"/>
          <w:szCs w:val="22"/>
          <w:lang w:val="es-MX"/>
        </w:rPr>
        <w:t>E LA ECONOMÍA LOCAL</w:t>
      </w:r>
      <w:bookmarkEnd w:id="28"/>
      <w:r>
        <w:rPr>
          <w:rFonts w:ascii="Arial" w:cs="Arial" w:hAnsi="Arial"/>
          <w:color w:val="auto"/>
          <w:sz w:val="22"/>
          <w:szCs w:val="22"/>
          <w:lang w:val="es-MX"/>
        </w:rPr>
        <w:t xml:space="preserve"> </w:t>
      </w:r>
    </w:p>
    <w:p>
      <w:pPr>
        <w:pStyle w:val="style0"/>
        <w:rPr>
          <w:rFonts w:ascii="Arial" w:cs="Arial" w:hAnsi="Arial"/>
          <w:lang w:val="es-MX"/>
        </w:rPr>
      </w:pPr>
      <w:r>
        <w:rPr>
          <w:rFonts w:ascii="Arial" w:cs="Arial" w:hAnsi="Arial"/>
          <w:lang w:val="es-MX"/>
        </w:rPr>
        <w:t>Entre 2016 y 2017, La Candelaria presentó un aumento en el número de empresas con matrícula activa de 1,6%, por debajo del total Bogotá que fue de 2,2%.</w:t>
      </w:r>
      <w:r>
        <w:rPr>
          <w:rStyle w:val="style38"/>
          <w:rFonts w:ascii="Arial" w:cs="Arial" w:hAnsi="Arial"/>
          <w:lang w:val="es-MX"/>
        </w:rPr>
        <w:footnoteReference w:id="4"/>
      </w:r>
    </w:p>
    <w:p>
      <w:pPr>
        <w:pStyle w:val="style0"/>
        <w:rPr>
          <w:rFonts w:ascii="Arial" w:cs="Arial" w:hAnsi="Arial"/>
          <w:lang w:val="es-MX"/>
        </w:rPr>
      </w:pPr>
    </w:p>
    <w:p>
      <w:pPr>
        <w:pStyle w:val="style0"/>
        <w:jc w:val="center"/>
        <w:rPr>
          <w:rFonts w:ascii="Arial" w:cs="Arial" w:hAnsi="Arial"/>
          <w:lang w:val="es-MX"/>
        </w:rPr>
      </w:pPr>
      <w:r>
        <w:rPr>
          <w:rFonts w:ascii="Arial" w:cs="Arial" w:hAnsi="Arial"/>
          <w:noProof/>
          <w:lang w:eastAsia="es-CO"/>
        </w:rPr>
        <w:drawing>
          <wp:inline distL="0" distT="0" distB="0" distR="0">
            <wp:extent cx="4143375" cy="3602934"/>
            <wp:effectExtent l="0" t="0" r="0" b="0"/>
            <wp:docPr id="1065" name="Imagen 4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7" name="Imagen 44"/>
                    <pic:cNvPicPr/>
                  </pic:nvPicPr>
                  <pic:blipFill>
                    <a:blip r:embed="rId44" cstate="print"/>
                    <a:srcRect l="28007" t="29698" r="30701" b="6438"/>
                    <a:stretch/>
                  </pic:blipFill>
                  <pic:spPr>
                    <a:xfrm rot="0">
                      <a:off x="0" y="0"/>
                      <a:ext cx="4143375" cy="3602934"/>
                    </a:xfrm>
                    <a:prstGeom prst="rect"/>
                    <a:ln>
                      <a:noFill/>
                    </a:ln>
                  </pic:spPr>
                </pic:pic>
              </a:graphicData>
            </a:graphic>
          </wp:inline>
        </w:drawing>
      </w:r>
    </w:p>
    <w:p>
      <w:pPr>
        <w:pStyle w:val="style0"/>
        <w:jc w:val="both"/>
        <w:rPr>
          <w:rFonts w:ascii="Arial" w:cs="Arial" w:hAnsi="Arial"/>
          <w:lang w:val="es-MX"/>
        </w:rPr>
      </w:pPr>
      <w:r>
        <w:rPr>
          <w:rFonts w:ascii="Arial" w:cs="Arial" w:hAnsi="Arial"/>
          <w:lang w:val="es-MX"/>
        </w:rPr>
        <w:t>En La Candelaria, la mayor parte de las empresas registradas con matrícula activa tienen como actividad principal: comercio (27,5%), servicios profesionales (16,4%), industria (12,0%) y alojamiento y alimentación (10,5%).</w:t>
      </w:r>
      <w:r>
        <w:rPr>
          <w:rStyle w:val="style38"/>
          <w:rFonts w:ascii="Arial" w:cs="Arial" w:hAnsi="Arial"/>
          <w:lang w:val="es-MX"/>
        </w:rPr>
        <w:footnoteReference w:id="5"/>
      </w:r>
    </w:p>
    <w:p>
      <w:pPr>
        <w:pStyle w:val="style0"/>
        <w:jc w:val="both"/>
        <w:rPr>
          <w:rFonts w:ascii="Arial" w:cs="Arial" w:hAnsi="Arial"/>
          <w:lang w:val="es-MX"/>
        </w:rPr>
      </w:pPr>
      <w:r>
        <w:rPr>
          <w:rFonts w:ascii="Arial" w:cs="Arial" w:hAnsi="Arial"/>
          <w:lang w:val="es-MX"/>
        </w:rPr>
        <w:t>En La Candelaria, el 34,8% de los establecimientos de comercio pertenecen al sector comercio, el 19,8% a alojamiento y alimentación y el 13,3% a industria.</w:t>
      </w:r>
    </w:p>
    <w:p>
      <w:pPr>
        <w:pStyle w:val="style0"/>
        <w:jc w:val="center"/>
        <w:rPr>
          <w:rFonts w:ascii="Arial" w:cs="Arial" w:hAnsi="Arial"/>
          <w:lang w:val="es-MX"/>
        </w:rPr>
      </w:pPr>
      <w:r>
        <w:rPr>
          <w:rFonts w:ascii="Arial" w:cs="Arial" w:hAnsi="Arial"/>
          <w:noProof/>
          <w:lang w:eastAsia="es-CO"/>
        </w:rPr>
        <w:drawing>
          <wp:inline distL="0" distT="0" distB="0" distR="0">
            <wp:extent cx="5181600" cy="2657286"/>
            <wp:effectExtent l="0" t="0" r="0" b="0"/>
            <wp:docPr id="1066" name="Imagen 4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8" name="Imagen 45"/>
                    <pic:cNvPicPr/>
                  </pic:nvPicPr>
                  <pic:blipFill>
                    <a:blip r:embed="rId45" cstate="print"/>
                    <a:srcRect l="29702" t="24151" r="26341" b="22418"/>
                    <a:stretch/>
                  </pic:blipFill>
                  <pic:spPr>
                    <a:xfrm rot="0">
                      <a:off x="0" y="0"/>
                      <a:ext cx="5181600" cy="2657286"/>
                    </a:xfrm>
                    <a:prstGeom prst="rect"/>
                    <a:ln>
                      <a:noFill/>
                    </a:ln>
                  </pic:spPr>
                </pic:pic>
              </a:graphicData>
            </a:graphic>
          </wp:inline>
        </w:drawing>
      </w:r>
    </w:p>
    <w:p>
      <w:pPr>
        <w:pStyle w:val="style0"/>
        <w:rPr>
          <w:rFonts w:ascii="Arial" w:cs="Arial" w:hAnsi="Arial"/>
          <w:lang w:val="es-MX"/>
        </w:rPr>
      </w:pPr>
    </w:p>
    <w:bookmarkStart w:id="29" w:name="_Toc47477401"/>
    <w:p>
      <w:pPr>
        <w:pStyle w:val="style2"/>
        <w:rPr>
          <w:rFonts w:ascii="Arial" w:cs="Arial" w:hAnsi="Arial"/>
          <w:color w:val="auto"/>
          <w:sz w:val="22"/>
          <w:szCs w:val="22"/>
          <w:lang w:val="es-MX"/>
        </w:rPr>
      </w:pPr>
      <w:r>
        <w:rPr>
          <w:rFonts w:ascii="Arial" w:cs="Arial" w:hAnsi="Arial"/>
          <w:color w:val="auto"/>
          <w:sz w:val="22"/>
          <w:szCs w:val="22"/>
          <w:lang w:val="es-MX"/>
        </w:rPr>
        <w:t>COMPONENTE FLEXIBLE DE INVERSIÓN</w:t>
      </w:r>
      <w:bookmarkEnd w:id="29"/>
      <w:r>
        <w:rPr>
          <w:rFonts w:ascii="Arial" w:cs="Arial" w:hAnsi="Arial"/>
          <w:color w:val="auto"/>
          <w:sz w:val="22"/>
          <w:szCs w:val="22"/>
          <w:lang w:val="es-MX"/>
        </w:rPr>
        <w:t xml:space="preserve"> </w:t>
      </w:r>
    </w:p>
    <w:p>
      <w:pPr>
        <w:pStyle w:val="style4"/>
        <w:rPr>
          <w:rFonts w:ascii="Arial" w:cs="Arial" w:hAnsi="Arial"/>
          <w:color w:val="auto"/>
          <w:lang w:val="es-MX"/>
        </w:rPr>
      </w:pPr>
      <w:r>
        <w:rPr>
          <w:rFonts w:ascii="Arial" w:cs="Arial" w:hAnsi="Arial"/>
          <w:color w:val="auto"/>
          <w:lang w:val="es-MX"/>
        </w:rPr>
        <w:t>Salud:</w:t>
      </w:r>
    </w:p>
    <w:p>
      <w:pPr>
        <w:pStyle w:val="style0"/>
        <w:spacing w:after="0" w:lineRule="auto" w:line="240"/>
        <w:jc w:val="both"/>
        <w:rPr>
          <w:rFonts w:ascii="Arial" w:cs="Arial" w:eastAsia="Times New Roman" w:hAnsi="Arial"/>
          <w:b/>
          <w:lang w:val="es-MX"/>
        </w:rPr>
      </w:pPr>
    </w:p>
    <w:p>
      <w:pPr>
        <w:pStyle w:val="style0"/>
        <w:spacing w:after="0" w:lineRule="auto" w:line="240"/>
        <w:jc w:val="both"/>
        <w:rPr>
          <w:rFonts w:ascii="Arial" w:cs="Arial" w:eastAsia="Times New Roman" w:hAnsi="Arial"/>
          <w:lang w:val="es-MX"/>
        </w:rPr>
      </w:pPr>
      <w:r>
        <w:rPr>
          <w:rFonts w:ascii="Arial" w:cs="Arial" w:eastAsia="Times New Roman" w:hAnsi="Arial"/>
          <w:lang w:val="es-MX"/>
        </w:rPr>
        <w:t>La localidad de La Candelaria cuenta con 66,8% de población afiliada al régimen contributivo, seguido del 20,4% de población atendida por el régimen subsidiado, 3,1% hacen parte del régimen de excepción, mientras que la población de esa localidad que no está cubierta en seguridad social en salud es del 0,5%.</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r>
        <w:rPr>
          <w:rFonts w:ascii="Arial" w:cs="Arial" w:hAnsi="Arial"/>
          <w:noProof/>
          <w:lang w:eastAsia="es-CO"/>
        </w:rPr>
        <w:drawing>
          <wp:inline distL="0" distT="0" distB="0" distR="0">
            <wp:extent cx="5611848" cy="1066800"/>
            <wp:effectExtent l="0" t="0" r="8255" b="0"/>
            <wp:docPr id="1067" name="Imagen 3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9" name="Imagen 34"/>
                    <pic:cNvPicPr/>
                  </pic:nvPicPr>
                  <pic:blipFill>
                    <a:blip r:embed="rId46" cstate="print"/>
                    <a:srcRect l="0" t="0" r="0" b="0"/>
                    <a:stretch/>
                  </pic:blipFill>
                  <pic:spPr>
                    <a:xfrm rot="0">
                      <a:off x="0" y="0"/>
                      <a:ext cx="5611848" cy="1066800"/>
                    </a:xfrm>
                    <a:prstGeom prst="rect"/>
                    <a:ln>
                      <a:noFill/>
                    </a:ln>
                  </pic:spPr>
                </pic:pic>
              </a:graphicData>
            </a:graphic>
          </wp:inline>
        </w:drawing>
      </w:r>
    </w:p>
    <w:p>
      <w:pPr>
        <w:pStyle w:val="style29"/>
        <w:jc w:val="both"/>
        <w:rPr>
          <w:rFonts w:ascii="Arial" w:cs="Arial" w:hAnsi="Arial"/>
          <w:sz w:val="22"/>
          <w:szCs w:val="22"/>
          <w:lang w:val="en-US"/>
        </w:rPr>
      </w:pPr>
      <w:r>
        <w:rPr>
          <w:rFonts w:ascii="Arial" w:cs="Arial" w:hAnsi="Arial"/>
          <w:sz w:val="22"/>
          <w:szCs w:val="22"/>
        </w:rPr>
        <w:t xml:space="preserve">SECRETARÍA </w:t>
      </w:r>
      <w:r>
        <w:rPr>
          <w:rFonts w:ascii="Arial" w:cs="Arial" w:hAnsi="Arial"/>
          <w:sz w:val="22"/>
          <w:szCs w:val="22"/>
        </w:rPr>
        <w:t xml:space="preserve">DISTRITAL DE PLANEACIÓN, SEPTIEMBRE DE 2018. </w:t>
      </w:r>
    </w:p>
    <w:p>
      <w:pPr>
        <w:pStyle w:val="style0"/>
        <w:spacing w:after="0" w:lineRule="auto" w:line="240"/>
        <w:jc w:val="both"/>
        <w:rPr>
          <w:rFonts w:ascii="Arial" w:cs="Arial" w:eastAsia="Times New Roman" w:hAnsi="Arial"/>
          <w:lang w:val="es-MX"/>
        </w:rPr>
      </w:pPr>
    </w:p>
    <w:p>
      <w:pPr>
        <w:pStyle w:val="style0"/>
        <w:spacing w:after="0" w:lineRule="auto" w:line="240"/>
        <w:jc w:val="both"/>
        <w:rPr>
          <w:rFonts w:ascii="Arial" w:cs="Arial" w:eastAsia="Times New Roman" w:hAnsi="Arial"/>
          <w:lang w:val="es-MX"/>
        </w:rPr>
      </w:pPr>
    </w:p>
    <w:p>
      <w:pPr>
        <w:pStyle w:val="style0"/>
        <w:spacing w:after="0" w:lineRule="auto" w:line="240"/>
        <w:jc w:val="both"/>
        <w:rPr>
          <w:rStyle w:val="style4099"/>
          <w:color w:val="auto"/>
          <w:lang w:val="es-MX"/>
        </w:rPr>
      </w:pPr>
      <w:r>
        <w:rPr>
          <w:rStyle w:val="style4099"/>
          <w:color w:val="auto"/>
          <w:lang w:val="es-MX"/>
        </w:rPr>
        <w:t>El comportamiento de las coberturas por localidad, en gran medida corresponde a la</w:t>
      </w:r>
      <w:r>
        <w:rPr>
          <w:rFonts w:ascii="Arial" w:cs="Arial" w:hAnsi="Arial"/>
          <w:lang w:val="es-MX"/>
        </w:rPr>
        <w:br/>
      </w:r>
      <w:r>
        <w:rPr>
          <w:rStyle w:val="style4099"/>
          <w:color w:val="auto"/>
          <w:lang w:val="es-MX"/>
        </w:rPr>
        <w:t>facilidad en el acceso al servicio o la predilección de la ciudadanía por un punto de atención</w:t>
      </w:r>
      <w:r>
        <w:rPr>
          <w:rFonts w:ascii="Arial" w:cs="Arial" w:hAnsi="Arial"/>
          <w:lang w:val="es-MX"/>
        </w:rPr>
        <w:br/>
      </w:r>
      <w:r>
        <w:rPr>
          <w:rStyle w:val="style4099"/>
          <w:color w:val="auto"/>
          <w:lang w:val="es-MX"/>
        </w:rPr>
        <w:t>en particular, y, además, a la concentración de IPS en la misma localidad con servicios de</w:t>
      </w:r>
      <w:r>
        <w:rPr>
          <w:rFonts w:ascii="Arial" w:cs="Arial" w:hAnsi="Arial"/>
          <w:lang w:val="es-MX"/>
        </w:rPr>
        <w:br/>
      </w:r>
      <w:r>
        <w:rPr>
          <w:rStyle w:val="style4099"/>
          <w:color w:val="auto"/>
          <w:lang w:val="es-MX"/>
        </w:rPr>
        <w:t>vacunación disponibles. Se debe tener en cuenta que la estrategia de vacunación sin</w:t>
      </w:r>
      <w:r>
        <w:rPr>
          <w:rFonts w:ascii="Arial" w:cs="Arial" w:hAnsi="Arial"/>
          <w:lang w:val="es-MX"/>
        </w:rPr>
        <w:br/>
      </w:r>
      <w:r>
        <w:rPr>
          <w:rStyle w:val="style4099"/>
          <w:color w:val="auto"/>
          <w:lang w:val="es-MX"/>
        </w:rPr>
        <w:t>barreras, soportada por convenios interadministrativos con las EPS subsidiadas y</w:t>
      </w:r>
      <w:r>
        <w:rPr>
          <w:rFonts w:ascii="Arial" w:cs="Arial" w:hAnsi="Arial"/>
          <w:lang w:val="es-MX"/>
        </w:rPr>
        <w:br/>
      </w:r>
      <w:r>
        <w:rPr>
          <w:rStyle w:val="style4099"/>
          <w:color w:val="auto"/>
          <w:lang w:val="es-MX"/>
        </w:rPr>
        <w:t>contributivas, facilita que los niños y niñas demanden en cualquier punto de vacunación de</w:t>
      </w:r>
      <w:r>
        <w:rPr>
          <w:rFonts w:ascii="Arial" w:cs="Arial" w:hAnsi="Arial"/>
          <w:lang w:val="es-MX"/>
        </w:rPr>
        <w:br/>
      </w:r>
      <w:r>
        <w:rPr>
          <w:rStyle w:val="style4099"/>
          <w:color w:val="auto"/>
          <w:lang w:val="es-MX"/>
        </w:rPr>
        <w:t>la ciudad todos los biológicos (vacunas) del programa oficial del PAI</w:t>
      </w:r>
      <w:r>
        <w:rPr>
          <w:rStyle w:val="style4099"/>
          <w:color w:val="auto"/>
          <w:lang w:val="es-MX"/>
        </w:rPr>
        <w:t>.</w:t>
      </w:r>
    </w:p>
    <w:p>
      <w:pPr>
        <w:pStyle w:val="style0"/>
        <w:spacing w:after="0" w:lineRule="auto" w:line="240"/>
        <w:jc w:val="both"/>
        <w:rPr>
          <w:rStyle w:val="style4099"/>
          <w:color w:val="auto"/>
          <w:lang w:val="es-MX"/>
        </w:rPr>
      </w:pPr>
    </w:p>
    <w:p>
      <w:pPr>
        <w:pStyle w:val="style0"/>
        <w:spacing w:after="0" w:lineRule="auto" w:line="240"/>
        <w:jc w:val="both"/>
        <w:rPr>
          <w:rStyle w:val="style4099"/>
          <w:color w:val="auto"/>
          <w:lang w:val="es-MX"/>
        </w:rPr>
      </w:pPr>
      <w:r>
        <w:rPr>
          <w:rStyle w:val="style4099"/>
          <w:color w:val="auto"/>
          <w:lang w:val="es-MX"/>
        </w:rPr>
        <w:t>La localidad ocupa el tercer lugar a nivel distrital de personas</w:t>
      </w:r>
      <w:r>
        <w:rPr>
          <w:rStyle w:val="style4099"/>
          <w:color w:val="auto"/>
          <w:lang w:val="es-MX"/>
        </w:rPr>
        <w:t xml:space="preserve"> que porcentualmente tienen</w:t>
      </w:r>
      <w:r>
        <w:rPr>
          <w:rStyle w:val="style4099"/>
          <w:color w:val="auto"/>
          <w:lang w:val="es-MX"/>
        </w:rPr>
        <w:t xml:space="preserve">  limitaciones permanentes (</w:t>
      </w:r>
      <w:r>
        <w:rPr>
          <w:rFonts w:ascii="Arial" w:cs="Arial" w:hAnsi="Arial"/>
        </w:rPr>
        <w:t xml:space="preserve">discapacidad visual, auditiva, motriz, cognitiva, mental, múltiple, etc.) </w:t>
      </w:r>
    </w:p>
    <w:p>
      <w:pPr>
        <w:pStyle w:val="style0"/>
        <w:spacing w:after="0" w:lineRule="auto" w:line="240"/>
        <w:jc w:val="both"/>
        <w:rPr>
          <w:rStyle w:val="style4099"/>
          <w:color w:val="auto"/>
          <w:lang w:val="es-MX"/>
        </w:rPr>
      </w:pPr>
    </w:p>
    <w:p>
      <w:pPr>
        <w:pStyle w:val="style0"/>
        <w:spacing w:after="0" w:lineRule="auto" w:line="240"/>
        <w:jc w:val="both"/>
        <w:rPr>
          <w:rStyle w:val="style4099"/>
          <w:color w:val="auto"/>
          <w:lang w:val="es-MX"/>
        </w:rPr>
      </w:pPr>
    </w:p>
    <w:p>
      <w:pPr>
        <w:pStyle w:val="style0"/>
        <w:spacing w:after="0" w:lineRule="auto" w:line="240"/>
        <w:jc w:val="center"/>
        <w:rPr>
          <w:rStyle w:val="style4099"/>
          <w:color w:val="auto"/>
          <w:lang w:val="es-MX"/>
        </w:rPr>
      </w:pPr>
      <w:r>
        <w:rPr>
          <w:rFonts w:ascii="Arial" w:cs="Arial" w:hAnsi="Arial"/>
          <w:noProof/>
          <w:lang w:eastAsia="es-CO"/>
        </w:rPr>
        <w:drawing>
          <wp:inline distL="0" distT="0" distB="0" distR="0">
            <wp:extent cx="3562616" cy="3076575"/>
            <wp:effectExtent l="0" t="0" r="0" b="0"/>
            <wp:docPr id="1068" name="Imagen 4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0" name="Imagen 42"/>
                    <pic:cNvPicPr/>
                  </pic:nvPicPr>
                  <pic:blipFill>
                    <a:blip r:embed="rId47" cstate="print"/>
                    <a:srcRect l="42981" t="30792" r="23116" b="17136"/>
                    <a:stretch/>
                  </pic:blipFill>
                  <pic:spPr>
                    <a:xfrm rot="0">
                      <a:off x="0" y="0"/>
                      <a:ext cx="3562616" cy="3076575"/>
                    </a:xfrm>
                    <a:prstGeom prst="rect"/>
                    <a:ln>
                      <a:noFill/>
                    </a:ln>
                  </pic:spPr>
                </pic:pic>
              </a:graphicData>
            </a:graphic>
          </wp:inline>
        </w:drawing>
      </w:r>
    </w:p>
    <w:p>
      <w:pPr>
        <w:pStyle w:val="style0"/>
        <w:spacing w:after="0" w:lineRule="auto" w:line="240"/>
        <w:jc w:val="both"/>
        <w:rPr>
          <w:rStyle w:val="style4099"/>
          <w:color w:val="auto"/>
          <w:lang w:val="es-MX"/>
        </w:rPr>
      </w:pPr>
    </w:p>
    <w:p>
      <w:pPr>
        <w:pStyle w:val="style0"/>
        <w:jc w:val="both"/>
        <w:rPr>
          <w:rFonts w:ascii="Arial" w:cs="Arial" w:hAnsi="Arial"/>
          <w:lang w:val="es-MX"/>
        </w:rPr>
      </w:pPr>
      <w:r>
        <w:rPr>
          <w:rFonts w:ascii="Arial" w:cs="Arial" w:hAnsi="Arial"/>
          <w:lang w:val="es-MX"/>
        </w:rPr>
        <w:t xml:space="preserve">En el caso del embarazo adolescente, la tasa de la localidad es de 26,8 adolescentes de entre 10 y 19 años embarazadas por cada 100 mil habitantes. Así mismo, la localidad ocupa el tercer lugar a nivel distrital de prevalencia de sustancias psicoactivas, con comportamiento alto. </w:t>
      </w:r>
    </w:p>
    <w:p>
      <w:pPr>
        <w:pStyle w:val="style0"/>
        <w:jc w:val="both"/>
        <w:rPr>
          <w:rFonts w:ascii="Arial" w:cs="Arial" w:hAnsi="Arial"/>
          <w:lang w:val="es-MX"/>
        </w:rPr>
      </w:pPr>
      <w:r>
        <w:rPr>
          <w:rFonts w:ascii="Arial" w:cs="Arial" w:hAnsi="Arial"/>
        </w:rPr>
        <w:t>Según la Red Sub-Integrada de Servicios de Salud Centro Oriente, durante los años 2018 y 2019 se han presentado un total de 61 casos de nacidos vivos de madres de 10 a 19 años, donde 2 casos corresponde a mujeres de 10 a 14 años y el 96,7% (n: 59) a mujeres de 15 a 19 años de edad. Al realizar el comparativo entre los años 2018 y 2019 la cifra disminuyó en 8,2%, pasando de 33 casos de NV de madres adolescentes en 2018 a 28 en 2019.</w:t>
      </w:r>
    </w:p>
    <w:p>
      <w:pPr>
        <w:pStyle w:val="style0"/>
        <w:spacing w:after="0" w:lineRule="auto" w:line="240"/>
        <w:jc w:val="both"/>
        <w:rPr>
          <w:rFonts w:ascii="Arial" w:cs="Arial" w:eastAsia="Times New Roman" w:hAnsi="Arial"/>
          <w:lang w:val="es-MX"/>
        </w:rPr>
      </w:pPr>
      <w:r>
        <w:rPr>
          <w:rFonts w:ascii="Arial" w:cs="Arial" w:hAnsi="Arial"/>
        </w:rPr>
        <w:t xml:space="preserve">Según Planeación Distrital, en las temáticas asociadas a los Conceptos de Gasto de la Línea de Inversión “Condiciones de Salud”, la localidad presenta altos niveles de incidencia de embarazo adolescente y de consumo de sustancias ilícitas, siendo aspectos a tener muy presentes. La población con limitaciones permanentes (discapacidad), es de las más altas de la ciudad. Sin </w:t>
      </w:r>
      <w:r>
        <w:rPr>
          <w:rFonts w:ascii="Arial" w:cs="Arial" w:hAnsi="Arial"/>
        </w:rPr>
        <w:t>embargo,</w:t>
      </w:r>
      <w:r>
        <w:rPr>
          <w:rFonts w:ascii="Arial" w:cs="Arial" w:hAnsi="Arial"/>
        </w:rPr>
        <w:t xml:space="preserve"> los costos de referencia para los conceptos de gasto de estos aspectos resulta</w:t>
      </w:r>
      <w:r>
        <w:rPr>
          <w:rFonts w:ascii="Arial" w:cs="Arial" w:hAnsi="Arial"/>
        </w:rPr>
        <w:t>n</w:t>
      </w:r>
      <w:r>
        <w:rPr>
          <w:rFonts w:ascii="Arial" w:cs="Arial" w:hAnsi="Arial"/>
        </w:rPr>
        <w:t xml:space="preserve"> inac</w:t>
      </w:r>
      <w:r>
        <w:rPr>
          <w:rFonts w:ascii="Arial" w:cs="Arial" w:hAnsi="Arial"/>
        </w:rPr>
        <w:t>ces</w:t>
      </w:r>
      <w:r>
        <w:rPr>
          <w:rFonts w:ascii="Arial" w:cs="Arial" w:hAnsi="Arial"/>
        </w:rPr>
        <w:t xml:space="preserve">ibles para el Fondo de Desarrollo local en tanto el 5% flexible solo constituye alrededor de 600 millones de pesos, es necesario que el sector salud emita costos de referencia teniendo en cuenta las magnitudes poblacionales de la localidad y los presupuestos de la misma. </w:t>
      </w:r>
    </w:p>
    <w:p>
      <w:pPr>
        <w:pStyle w:val="style0"/>
        <w:jc w:val="both"/>
        <w:rPr>
          <w:rFonts w:ascii="Arial" w:cs="Arial" w:hAnsi="Arial"/>
          <w:lang w:val="es-MX"/>
        </w:rPr>
      </w:pPr>
    </w:p>
    <w:p>
      <w:pPr>
        <w:pStyle w:val="style4"/>
        <w:rPr>
          <w:rStyle w:val="style4099"/>
          <w:color w:val="auto"/>
          <w:lang w:val="es-MX"/>
        </w:rPr>
      </w:pPr>
      <w:r>
        <w:rPr>
          <w:rStyle w:val="style4099"/>
          <w:color w:val="auto"/>
          <w:lang w:val="es-MX"/>
        </w:rPr>
        <w:t xml:space="preserve">Participación </w:t>
      </w:r>
    </w:p>
    <w:p>
      <w:pPr>
        <w:pStyle w:val="style0"/>
        <w:rPr>
          <w:rFonts w:ascii="Arial" w:cs="Arial" w:hAnsi="Arial"/>
          <w:lang w:val="es-MX"/>
        </w:rPr>
      </w:pPr>
    </w:p>
    <w:p>
      <w:pPr>
        <w:pStyle w:val="style0"/>
        <w:jc w:val="both"/>
        <w:rPr>
          <w:rStyle w:val="style4099"/>
          <w:color w:val="auto"/>
          <w:lang w:val="es-MX"/>
        </w:rPr>
      </w:pPr>
      <w:r>
        <w:rPr>
          <w:rStyle w:val="style4099"/>
          <w:color w:val="auto"/>
          <w:lang w:val="es-MX"/>
        </w:rPr>
        <w:t>La participación ciudadana es una pieza fundamental del sistema democrático que promueve la construcción de una sociedad activa que ayuda a impulsar cualquier aspecto de la vida social, económica, cultural o política. Esta</w:t>
      </w:r>
      <w:r>
        <w:rPr>
          <w:rStyle w:val="style4099"/>
          <w:color w:val="auto"/>
          <w:lang w:val="es-MX"/>
        </w:rPr>
        <w:t xml:space="preserve"> </w:t>
      </w:r>
      <w:r>
        <w:rPr>
          <w:rStyle w:val="style4099"/>
          <w:color w:val="auto"/>
          <w:lang w:val="es-MX"/>
        </w:rPr>
        <w:t>sociedad, mediante su implicación en los asuntos públicos, enriquece la acción del gobierno y la dota de eficacia,</w:t>
      </w:r>
      <w:r>
        <w:rPr>
          <w:rStyle w:val="style4099"/>
          <w:color w:val="auto"/>
          <w:lang w:val="es-MX"/>
        </w:rPr>
        <w:t xml:space="preserve"> </w:t>
      </w:r>
      <w:r>
        <w:rPr>
          <w:rStyle w:val="style4099"/>
          <w:color w:val="auto"/>
          <w:lang w:val="es-MX"/>
        </w:rPr>
        <w:t>al mismo tiempo, este derecho ciudadano ayuda a generar un equipo de gobierno más exigente y de más calidad.</w:t>
      </w:r>
      <w:r>
        <w:rPr>
          <w:rStyle w:val="style4099"/>
          <w:color w:val="auto"/>
          <w:lang w:val="es-MX"/>
        </w:rPr>
        <w:t xml:space="preserve"> </w:t>
      </w:r>
      <w:r>
        <w:rPr>
          <w:rStyle w:val="style4099"/>
          <w:color w:val="auto"/>
          <w:lang w:val="es-MX"/>
        </w:rPr>
        <w:t>La participación puede operar en diversos niveles: en algunos casos se trata de obtener información sobre un tema</w:t>
      </w:r>
      <w:r>
        <w:rPr>
          <w:rStyle w:val="style4099"/>
          <w:color w:val="auto"/>
          <w:lang w:val="es-MX"/>
        </w:rPr>
        <w:t xml:space="preserve"> </w:t>
      </w:r>
      <w:r>
        <w:rPr>
          <w:rStyle w:val="style4099"/>
          <w:color w:val="auto"/>
          <w:lang w:val="es-MX"/>
        </w:rPr>
        <w:t>o decisión específica o emitir una opinión sobre una situación, en otros participar significa proponer iniciativas que</w:t>
      </w:r>
      <w:r>
        <w:rPr>
          <w:rStyle w:val="style4099"/>
          <w:color w:val="auto"/>
          <w:lang w:val="es-MX"/>
        </w:rPr>
        <w:t xml:space="preserve"> </w:t>
      </w:r>
      <w:r>
        <w:rPr>
          <w:rStyle w:val="style4099"/>
          <w:color w:val="auto"/>
          <w:lang w:val="es-MX"/>
        </w:rPr>
        <w:t>contribuyan a la solución de un problema. O bien puede tener un alcance mayor cuando se trata de procesos de</w:t>
      </w:r>
      <w:r>
        <w:rPr>
          <w:rStyle w:val="style4099"/>
          <w:color w:val="auto"/>
          <w:lang w:val="es-MX"/>
        </w:rPr>
        <w:t xml:space="preserve"> </w:t>
      </w:r>
      <w:r>
        <w:rPr>
          <w:rStyle w:val="style4099"/>
          <w:color w:val="auto"/>
          <w:lang w:val="es-MX"/>
        </w:rPr>
        <w:t>concertación y negociación sobre aspectos de la comunidad en el cumplimiento de acuerdos y decisiones previas.</w:t>
      </w:r>
    </w:p>
    <w:p>
      <w:pPr>
        <w:pStyle w:val="style0"/>
        <w:jc w:val="both"/>
        <w:rPr>
          <w:rStyle w:val="style4099"/>
          <w:color w:val="auto"/>
          <w:lang w:val="es-MX"/>
        </w:rPr>
      </w:pPr>
      <w:r>
        <w:rPr>
          <w:rStyle w:val="style4099"/>
          <w:color w:val="auto"/>
          <w:lang w:val="es-MX"/>
        </w:rPr>
        <w:t>En otras palabras, la participación se reivindica como medio para la formulación, discusión y adopción de los</w:t>
      </w:r>
      <w:r>
        <w:rPr>
          <w:rStyle w:val="style4099"/>
          <w:color w:val="auto"/>
          <w:lang w:val="es-MX"/>
        </w:rPr>
        <w:t xml:space="preserve"> </w:t>
      </w:r>
      <w:r>
        <w:rPr>
          <w:rStyle w:val="style4099"/>
          <w:color w:val="auto"/>
          <w:lang w:val="es-MX"/>
        </w:rPr>
        <w:t>grandes consensos sobre el desarrollo y la convivencia en el territorio.</w:t>
      </w:r>
    </w:p>
    <w:p>
      <w:pPr>
        <w:pStyle w:val="style0"/>
        <w:jc w:val="both"/>
        <w:rPr>
          <w:rStyle w:val="style4099"/>
          <w:color w:val="auto"/>
          <w:lang w:val="es-MX"/>
        </w:rPr>
      </w:pPr>
      <w:r>
        <w:rPr>
          <w:rStyle w:val="style4099"/>
          <w:color w:val="auto"/>
          <w:lang w:val="es-MX"/>
        </w:rPr>
        <w:t xml:space="preserve">Es evidente que la participación ciudadana en la localidad de La Candelaria ha venido transformando su base social a través de un proceso de apropiación de las organizaciones étnicas, de cara al reconocimiento que ha tenido en la ciudad el desarrollo progresivo del principio de igualdad y no discriminación frente al reconocimiento, el respeto, la protección, la garantía de derechos y el trato </w:t>
      </w:r>
      <w:r>
        <w:rPr>
          <w:rStyle w:val="style4099"/>
          <w:color w:val="auto"/>
          <w:lang w:val="es-MX"/>
        </w:rPr>
        <w:t xml:space="preserve">que </w:t>
      </w:r>
      <w:r>
        <w:rPr>
          <w:rStyle w:val="style4099"/>
          <w:color w:val="auto"/>
          <w:lang w:val="es-MX"/>
        </w:rPr>
        <w:t xml:space="preserve">deben estar acordes con las particularidades propias de cada individuo; en este caso, de las comunidades étnicas existentes en Bogotá. </w:t>
      </w:r>
    </w:p>
    <w:p>
      <w:pPr>
        <w:pStyle w:val="style0"/>
        <w:jc w:val="both"/>
        <w:rPr>
          <w:rStyle w:val="style4099"/>
          <w:color w:val="auto"/>
          <w:lang w:val="es-MX"/>
        </w:rPr>
      </w:pPr>
      <w:r>
        <w:rPr>
          <w:rStyle w:val="style4099"/>
          <w:color w:val="auto"/>
          <w:lang w:val="es-MX"/>
        </w:rPr>
        <w:t>Esta situación es relevante puesto que genera una ventana de oportunidades para la transformación de las dinámicas propias de las comunidades y de los territorios. No obstante, se resalta la preponderancia de los grupos de mujeres y de jóvenes en la localidad, ya que han aportado en la construcción de dinámicas de interacción con otras organizaciones sociales y en especial con las entidades distritales y la Alcaldía Local.</w:t>
      </w:r>
    </w:p>
    <w:p>
      <w:pPr>
        <w:pStyle w:val="style0"/>
        <w:jc w:val="both"/>
        <w:rPr>
          <w:rStyle w:val="style4099"/>
          <w:color w:val="auto"/>
          <w:lang w:val="es-MX"/>
        </w:rPr>
      </w:pPr>
    </w:p>
    <w:p>
      <w:pPr>
        <w:pStyle w:val="style0"/>
        <w:jc w:val="both"/>
        <w:rPr>
          <w:rFonts w:ascii="Arial" w:cs="Arial" w:hAnsi="Arial"/>
          <w:lang w:val="es-MX"/>
        </w:rPr>
      </w:pPr>
      <w:r>
        <w:rPr>
          <w:rFonts w:ascii="Arial" w:cs="Arial" w:hAnsi="Arial"/>
          <w:lang w:val="es-MX"/>
        </w:rPr>
        <w:t xml:space="preserve">El 14.5% de la población hace parte de alguna organización, </w:t>
      </w:r>
      <w:r>
        <w:rPr>
          <w:rFonts w:ascii="Arial" w:cs="Arial" w:hAnsi="Arial"/>
          <w:lang w:val="es-MX"/>
        </w:rPr>
        <w:t>según</w:t>
      </w:r>
      <w:r>
        <w:rPr>
          <w:rFonts w:ascii="Arial" w:cs="Arial" w:hAnsi="Arial"/>
          <w:lang w:val="es-MX"/>
        </w:rPr>
        <w:t xml:space="preserve"> indicadores de Planeaci</w:t>
      </w:r>
      <w:r>
        <w:rPr>
          <w:rFonts w:ascii="Arial" w:cs="Arial" w:hAnsi="Arial"/>
          <w:lang w:val="es-MX"/>
        </w:rPr>
        <w:t xml:space="preserve">ón Distrital, para la población de la localidad es indispensable las garantías de participación, en la situación actual en donde la participación se da por </w:t>
      </w:r>
      <w:r>
        <w:rPr>
          <w:rFonts w:ascii="Arial" w:cs="Arial" w:hAnsi="Arial"/>
          <w:lang w:val="es-MX"/>
        </w:rPr>
        <w:t>c</w:t>
      </w:r>
      <w:r>
        <w:rPr>
          <w:rFonts w:ascii="Arial" w:cs="Arial" w:hAnsi="Arial"/>
          <w:lang w:val="es-MX"/>
        </w:rPr>
        <w:t xml:space="preserve">anales virtuales, muchas organizaciones e instancias expresan su preocupación sobre la falta de acceso a la conectividad presente en la localidad. </w:t>
      </w:r>
    </w:p>
    <w:p>
      <w:pPr>
        <w:pStyle w:val="style0"/>
        <w:jc w:val="both"/>
        <w:rPr>
          <w:rFonts w:ascii="Arial" w:cs="Arial" w:hAnsi="Arial"/>
          <w:lang w:val="es-MX"/>
        </w:rPr>
      </w:pPr>
    </w:p>
    <w:p>
      <w:pPr>
        <w:pStyle w:val="style0"/>
        <w:jc w:val="both"/>
        <w:rPr>
          <w:rFonts w:ascii="Arial" w:cs="Arial" w:hAnsi="Arial"/>
          <w:lang w:val="es-MX"/>
        </w:rPr>
      </w:pPr>
      <w:r>
        <w:rPr>
          <w:rFonts w:ascii="Arial" w:cs="Arial" w:hAnsi="Arial"/>
          <w:noProof/>
          <w:lang w:eastAsia="es-CO"/>
        </w:rPr>
        <w:drawing>
          <wp:inline distL="0" distT="0" distB="0" distR="0">
            <wp:extent cx="5915758" cy="3657600"/>
            <wp:effectExtent l="0" t="0" r="8890" b="0"/>
            <wp:docPr id="1069" name="Imagen 10"/>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1" name="Imagen 10"/>
                    <pic:cNvPicPr/>
                  </pic:nvPicPr>
                  <pic:blipFill>
                    <a:blip r:embed="rId48" cstate="print"/>
                    <a:srcRect l="19881" t="19537" r="12310" b="5894"/>
                    <a:stretch/>
                  </pic:blipFill>
                  <pic:spPr>
                    <a:xfrm rot="0">
                      <a:off x="0" y="0"/>
                      <a:ext cx="5915758" cy="3657600"/>
                    </a:xfrm>
                    <a:prstGeom prst="rect"/>
                    <a:ln>
                      <a:noFill/>
                    </a:ln>
                  </pic:spPr>
                </pic:pic>
              </a:graphicData>
            </a:graphic>
          </wp:inline>
        </w:drawing>
      </w:r>
    </w:p>
    <w:p>
      <w:pPr>
        <w:pStyle w:val="style0"/>
        <w:jc w:val="both"/>
        <w:rPr>
          <w:rFonts w:ascii="Arial" w:cs="Arial" w:hAnsi="Arial"/>
          <w:lang w:val="es-MX"/>
        </w:rPr>
      </w:pPr>
      <w:r>
        <w:rPr>
          <w:rFonts w:ascii="Arial" w:cs="Arial" w:hAnsi="Arial"/>
          <w:lang w:val="es-MX"/>
        </w:rPr>
        <w:t xml:space="preserve">FUENTE: </w:t>
      </w:r>
      <w:r>
        <w:rPr>
          <w:rFonts w:ascii="Arial" w:cs="Arial" w:hAnsi="Arial"/>
          <w:lang w:val="es-MX"/>
        </w:rPr>
        <w:t>I</w:t>
      </w:r>
      <w:r>
        <w:rPr>
          <w:rFonts w:ascii="Arial" w:cs="Arial" w:hAnsi="Arial"/>
          <w:lang w:val="es-MX"/>
        </w:rPr>
        <w:t>NDICADORES DE DIAGN</w:t>
      </w:r>
      <w:r>
        <w:rPr>
          <w:rFonts w:ascii="Arial" w:cs="Arial" w:hAnsi="Arial"/>
          <w:lang w:val="es-MX"/>
        </w:rPr>
        <w:t>Ó</w:t>
      </w:r>
      <w:r>
        <w:rPr>
          <w:rFonts w:ascii="Arial" w:cs="Arial" w:hAnsi="Arial"/>
          <w:lang w:val="es-MX"/>
        </w:rPr>
        <w:t>STICO LOCAL PARA LAS COMP</w:t>
      </w:r>
      <w:r>
        <w:rPr>
          <w:rFonts w:ascii="Arial" w:cs="Arial" w:hAnsi="Arial"/>
          <w:lang w:val="es-MX"/>
        </w:rPr>
        <w:t>ETENCIAS DEL</w:t>
      </w:r>
      <w:r>
        <w:rPr>
          <w:rFonts w:ascii="Arial" w:cs="Arial" w:hAnsi="Arial"/>
          <w:lang w:val="es-MX"/>
        </w:rPr>
        <w:t xml:space="preserve"> </w:t>
      </w:r>
      <w:r>
        <w:rPr>
          <w:rFonts w:ascii="Arial" w:cs="Arial" w:hAnsi="Arial"/>
          <w:lang w:val="es-MX"/>
        </w:rPr>
        <w:t>ACUERDO 740 DE 2019</w:t>
      </w:r>
    </w:p>
    <w:p>
      <w:pPr>
        <w:pStyle w:val="style0"/>
        <w:spacing w:after="0" w:lineRule="auto" w:line="240"/>
        <w:jc w:val="both"/>
        <w:rPr>
          <w:rFonts w:ascii="Arial" w:cs="Arial" w:eastAsia="Times New Roman" w:hAnsi="Arial"/>
          <w:lang w:val="es-MX"/>
        </w:rPr>
      </w:pPr>
      <w:r>
        <w:rPr>
          <w:rFonts w:ascii="Arial" w:cs="Arial" w:eastAsia="Times New Roman" w:hAnsi="Arial"/>
          <w:lang w:val="es-MX"/>
        </w:rPr>
        <w:t>En la localidad de La Candelaria, existen diversas instancias y procesos de participación ciudadana, a través de los cuales se fortalece el desarrollo comunitario. En dichas instancias de participación se realizan actividades que involucran a los miembros</w:t>
      </w:r>
      <w:r>
        <w:rPr>
          <w:rFonts w:ascii="Arial" w:cs="Arial" w:eastAsia="Times New Roman" w:hAnsi="Arial"/>
          <w:lang w:val="es-MX"/>
        </w:rPr>
        <w:t xml:space="preserve"> institucionales de</w:t>
      </w:r>
      <w:r>
        <w:rPr>
          <w:rFonts w:ascii="Arial" w:cs="Arial" w:eastAsia="Times New Roman" w:hAnsi="Arial"/>
          <w:lang w:val="es-MX"/>
        </w:rPr>
        <w:t xml:space="preserve"> dichas instanci</w:t>
      </w:r>
      <w:r>
        <w:rPr>
          <w:rFonts w:ascii="Arial" w:cs="Arial" w:eastAsia="Times New Roman" w:hAnsi="Arial"/>
          <w:lang w:val="es-MX"/>
        </w:rPr>
        <w:t>as y a la comunidad en general, la alcaldía local reconoce la importancia de la participación e intenta tener presencia permanente en la gran mayoría de instancias.</w:t>
      </w:r>
    </w:p>
    <w:p>
      <w:pPr>
        <w:pStyle w:val="style0"/>
        <w:jc w:val="both"/>
        <w:rPr>
          <w:rFonts w:ascii="Arial" w:cs="Arial" w:hAnsi="Arial"/>
          <w:lang w:val="es-MX"/>
        </w:rPr>
      </w:pPr>
    </w:p>
    <w:p>
      <w:pPr>
        <w:pStyle w:val="style0"/>
        <w:jc w:val="both"/>
        <w:rPr>
          <w:rFonts w:ascii="Arial" w:cs="Arial" w:hAnsi="Arial"/>
          <w:lang w:val="es-MX"/>
        </w:rPr>
      </w:pPr>
    </w:p>
    <w:sectPr>
      <w:footerReference w:type="default" r:id="rId49"/>
      <w:pgSz w:w="12240" w:h="15840" w:orient="portrait"/>
      <w:pgMar w:top="1417" w:right="1701" w:bottom="1417" w:left="1701" w:header="705" w:footer="46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4d"/>
    <w:family w:val="decorative"/>
    <w:pitch w:val="variable"/>
    <w:sig w:usb0="00000003" w:usb1="00000000" w:usb2="00000000" w:usb3="00000000" w:csb0="80000001" w:csb1="00000000"/>
  </w:font>
  <w:font w:name="Times New Roman">
    <w:altName w:val="Times New Roman"/>
    <w:panose1 w:val="02020603050000020304"/>
    <w:charset w:val="00"/>
    <w:family w:val="roman"/>
    <w:pitch w:val="variable"/>
    <w:sig w:usb0="E0002EFF" w:usb1="C000785B" w:usb2="00000009" w:usb3="00000000" w:csb0="000001FF" w:csb1="00000000"/>
  </w:font>
  <w:font w:name="Courier New">
    <w:altName w:val="Courier New"/>
    <w:panose1 w:val="02070309020000020404"/>
    <w:charset w:val="00"/>
    <w:family w:val="modern"/>
    <w:pitch w:val="fixed"/>
    <w:sig w:usb0="E0002AFF" w:usb1="C0007843" w:usb2="00000009" w:usb3="00000000" w:csb0="000001FF" w:csb1="00000000"/>
  </w:font>
  <w:font w:name="Symbol">
    <w:altName w:val="Symbol"/>
    <w:panose1 w:val="05050102010000020507"/>
    <w:charset w:val="02"/>
    <w:family w:val="decorative"/>
    <w:pitch w:val="variable"/>
    <w:sig w:usb0="00000000" w:usb1="10000000" w:usb2="00000000" w:usb3="00000000" w:csb0="80000000" w:csb1="00000000"/>
  </w:font>
  <w:font w:name="Calibri">
    <w:altName w:val="Calibri"/>
    <w:panose1 w:val="020f0502020000030204"/>
    <w:charset w:val="00"/>
    <w:family w:val="swiss"/>
    <w:pitch w:val="variable"/>
    <w:sig w:usb0="E0002AFF" w:usb1="C000247B" w:usb2="00000009" w:usb3="00000000" w:csb0="000001FF" w:csb1="00000000"/>
  </w:font>
  <w:font w:name="Calibri Light">
    <w:altName w:val="Calibri Light"/>
    <w:panose1 w:val="020f0302020000030204"/>
    <w:charset w:val="00"/>
    <w:family w:val="swiss"/>
    <w:pitch w:val="variable"/>
    <w:sig w:usb0="E0002AFF" w:usb1="C000247B" w:usb2="00000009" w:usb3="00000000" w:csb0="000001FF" w:csb1="00000000"/>
  </w:font>
  <w:font w:name="Arial">
    <w:altName w:val="Arial"/>
    <w:panose1 w:val="020b0604020000020204"/>
    <w:charset w:val="00"/>
    <w:family w:val="swiss"/>
    <w:pitch w:val="variable"/>
    <w:sig w:usb0="E0002AFF" w:usb1="C0007843" w:usb2="00000009" w:usb3="00000000" w:csb0="000001FF" w:csb1="00000000"/>
  </w:font>
  <w:font w:name="Segoe UI">
    <w:altName w:val="Sylfaen"/>
    <w:panose1 w:val="020b0604020000020204"/>
    <w:charset w:val="00"/>
    <w:family w:val="swiss"/>
    <w:pitch w:val="variable"/>
    <w:sig w:usb0="E4002EFF" w:usb1="C000E47F"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157"/>
      <w:rPr>
        <w:rFonts w:ascii="Arial" w:cs="Arial" w:hAnsi="Arial"/>
        <w:b/>
        <w:sz w:val="16"/>
        <w:szCs w:val="16"/>
        <w:lang w:val="es-MX"/>
      </w:rPr>
    </w:pPr>
    <w:r>
      <w:rPr>
        <w:noProof/>
      </w:rPr>
      <w:drawing>
        <wp:anchor distT="0" distB="0" distL="114300" distR="114300" simplePos="false" relativeHeight="3" behindDoc="false" locked="false" layoutInCell="true" allowOverlap="true">
          <wp:simplePos x="0" y="0"/>
          <wp:positionH relativeFrom="margin">
            <wp:posOffset>5367132</wp:posOffset>
          </wp:positionH>
          <wp:positionV relativeFrom="paragraph">
            <wp:posOffset>8890</wp:posOffset>
          </wp:positionV>
          <wp:extent cx="647700" cy="729615"/>
          <wp:effectExtent l="0" t="0" r="0" b="0"/>
          <wp:wrapThrough wrapText="bothSides">
            <wp:wrapPolygon edited="false">
              <wp:start x="2541" y="0"/>
              <wp:lineTo x="2541" y="9023"/>
              <wp:lineTo x="0" y="16355"/>
              <wp:lineTo x="0" y="20867"/>
              <wp:lineTo x="20965" y="20867"/>
              <wp:lineTo x="20965" y="16355"/>
              <wp:lineTo x="18424" y="9023"/>
              <wp:lineTo x="18424" y="0"/>
              <wp:lineTo x="2541" y="0"/>
            </wp:wrapPolygon>
          </wp:wrapThrough>
          <wp:docPr id="4098" name="image4.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r:embed="rId1" cstate="print"/>
                  <a:srcRect l="0" t="0" r="0" b="0"/>
                  <a:stretch/>
                </pic:blipFill>
                <pic:spPr>
                  <a:xfrm rot="0">
                    <a:off x="0" y="0"/>
                    <a:ext cx="647700" cy="729615"/>
                  </a:xfrm>
                  <a:prstGeom prst="rect"/>
                  <a:ln>
                    <a:noFill/>
                  </a:ln>
                </pic:spPr>
              </pic:pic>
            </a:graphicData>
          </a:graphic>
          <wp14:sizeRelV relativeFrom="margin">
            <wp14:pctHeight>0</wp14:pctHeight>
          </wp14:sizeRelV>
        </wp:anchor>
      </w:drawing>
    </w:r>
    <w:r>
      <w:rPr>
        <w:rFonts w:ascii="Arial" w:cs="Arial" w:hAnsi="Arial"/>
        <w:b/>
        <w:sz w:val="16"/>
        <w:szCs w:val="16"/>
        <w:lang w:val="es-MX"/>
      </w:rPr>
      <w:t xml:space="preserve">Alcaldía Local de </w:t>
    </w:r>
    <w:r>
      <w:rPr>
        <w:rFonts w:ascii="Arial" w:cs="Arial" w:hAnsi="Arial"/>
        <w:b/>
        <w:sz w:val="16"/>
        <w:szCs w:val="16"/>
        <w:lang w:val="es-MX"/>
      </w:rPr>
      <w:t>Candelaria</w:t>
    </w:r>
  </w:p>
  <w:p>
    <w:pPr>
      <w:pStyle w:val="style157"/>
      <w:rPr>
        <w:rFonts w:ascii="Arial" w:cs="Arial" w:hAnsi="Arial"/>
        <w:sz w:val="16"/>
        <w:szCs w:val="16"/>
        <w:lang w:val="es-MX"/>
      </w:rPr>
    </w:pPr>
    <w:r>
      <w:rPr>
        <w:rFonts w:ascii="Arial" w:cs="Arial" w:hAnsi="Arial"/>
        <w:sz w:val="16"/>
        <w:szCs w:val="16"/>
        <w:lang w:val="es-MX"/>
      </w:rPr>
      <w:t>Carrera 5 No. 12 C – 40</w:t>
    </w:r>
  </w:p>
  <w:p>
    <w:pPr>
      <w:pStyle w:val="style157"/>
      <w:rPr>
        <w:rFonts w:ascii="Arial" w:cs="Arial" w:hAnsi="Arial"/>
        <w:sz w:val="16"/>
        <w:szCs w:val="16"/>
        <w:lang w:val="es-MX"/>
      </w:rPr>
    </w:pPr>
    <w:r>
      <w:rPr>
        <w:rFonts w:ascii="Arial" w:cs="Arial" w:hAnsi="Arial"/>
        <w:sz w:val="16"/>
        <w:szCs w:val="16"/>
        <w:lang w:val="es-MX"/>
      </w:rPr>
      <w:t>Código Postal: 111711</w:t>
    </w:r>
  </w:p>
  <w:p>
    <w:pPr>
      <w:pStyle w:val="style157"/>
      <w:rPr>
        <w:rFonts w:ascii="Arial" w:cs="Arial" w:hAnsi="Arial"/>
        <w:sz w:val="16"/>
        <w:szCs w:val="16"/>
        <w:lang w:val="es-MX"/>
      </w:rPr>
    </w:pPr>
    <w:r>
      <w:rPr>
        <w:rFonts w:ascii="Arial" w:cs="Arial" w:hAnsi="Arial"/>
        <w:sz w:val="16"/>
        <w:szCs w:val="16"/>
        <w:lang w:val="es-MX"/>
      </w:rPr>
      <w:t xml:space="preserve">Tel. 3416009 </w:t>
    </w:r>
    <w:r>
      <w:rPr>
        <w:rFonts w:ascii="Arial" w:cs="Arial" w:hAnsi="Arial"/>
        <w:sz w:val="16"/>
        <w:szCs w:val="16"/>
        <w:lang w:val="es-MX"/>
      </w:rPr>
      <w:t>–</w:t>
    </w:r>
    <w:r>
      <w:rPr>
        <w:rFonts w:ascii="Arial" w:cs="Arial" w:hAnsi="Arial"/>
        <w:sz w:val="16"/>
        <w:szCs w:val="16"/>
        <w:lang w:val="es-MX"/>
      </w:rPr>
      <w:t xml:space="preserve"> 3410261</w:t>
    </w:r>
    <w:r>
      <w:rPr>
        <w:rFonts w:ascii="Arial" w:cs="Arial" w:hAnsi="Arial"/>
        <w:sz w:val="16"/>
        <w:szCs w:val="16"/>
        <w:lang w:val="es-MX"/>
      </w:rPr>
      <w:t xml:space="preserve"> </w:t>
    </w:r>
  </w:p>
  <w:p>
    <w:pPr>
      <w:pStyle w:val="style157"/>
      <w:rPr>
        <w:rFonts w:ascii="Arial" w:cs="Arial" w:hAnsi="Arial"/>
        <w:sz w:val="16"/>
        <w:szCs w:val="16"/>
        <w:lang w:val="es-MX"/>
      </w:rPr>
    </w:pPr>
    <w:r>
      <w:rPr>
        <w:rFonts w:ascii="Arial" w:cs="Arial" w:hAnsi="Arial"/>
        <w:sz w:val="16"/>
        <w:szCs w:val="16"/>
        <w:lang w:val="es-MX"/>
      </w:rPr>
      <w:t>Información Línea 195</w:t>
    </w:r>
  </w:p>
  <w:p>
    <w:pPr>
      <w:pStyle w:val="style32"/>
      <w:rPr>
        <w:lang w:val="es-MX"/>
      </w:rPr>
    </w:pPr>
  </w:p>
  <w:p>
    <w:pPr>
      <w:pStyle w:val="style32"/>
      <w:jc w:val="right"/>
      <w:rPr>
        <w:lang w:val="es-MX"/>
      </w:rPr>
    </w:pPr>
  </w:p>
  <w:p>
    <w:pPr>
      <w:pStyle w:val="style157"/>
      <w:rPr>
        <w:rFonts w:ascii="Arial" w:cs="Arial" w:hAnsi="Arial"/>
        <w:sz w:val="16"/>
        <w:szCs w:val="16"/>
        <w:lang w:val="es-MX"/>
      </w:rPr>
    </w:pP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pPr>
    <w:r>
      <w:rPr/>
      <w:fldChar w:fldCharType="begin"/>
    </w:r>
    <w:r>
      <w:instrText>PAGE   \* MERGEFORMAT</w:instrText>
    </w:r>
    <w:r>
      <w:rPr/>
      <w:fldChar w:fldCharType="separate"/>
    </w:r>
    <w:r>
      <w:rPr>
        <w:noProof/>
        <w:lang w:val="es-ES"/>
      </w:rPr>
      <w:t>36</w:t>
    </w:r>
    <w:r>
      <w:rPr/>
      <w:fldChar w:fldCharType="end"/>
    </w:r>
  </w:p>
  <w:p>
    <w:pPr>
      <w:pStyle w:val="style157"/>
      <w:rPr>
        <w:rFonts w:ascii="Arial" w:cs="Arial" w:hAnsi="Arial"/>
        <w:b/>
        <w:sz w:val="16"/>
        <w:szCs w:val="16"/>
        <w:lang w:val="es-MX"/>
      </w:rPr>
    </w:pPr>
    <w:r>
      <w:rPr>
        <w:rFonts w:ascii="Arial" w:cs="Arial" w:hAnsi="Arial"/>
        <w:b/>
        <w:sz w:val="16"/>
        <w:szCs w:val="16"/>
        <w:lang w:val="es-MX"/>
      </w:rPr>
      <w:t xml:space="preserve">Alcaldía Local de </w:t>
    </w:r>
    <w:r>
      <w:rPr>
        <w:rFonts w:ascii="Arial" w:cs="Arial" w:hAnsi="Arial"/>
        <w:b/>
        <w:sz w:val="16"/>
        <w:szCs w:val="16"/>
        <w:lang w:val="es-MX"/>
      </w:rPr>
      <w:t>Candelaria</w:t>
    </w:r>
  </w:p>
  <w:p>
    <w:pPr>
      <w:pStyle w:val="style157"/>
      <w:rPr>
        <w:rFonts w:ascii="Arial" w:cs="Arial" w:hAnsi="Arial"/>
        <w:sz w:val="16"/>
        <w:szCs w:val="16"/>
        <w:lang w:val="es-MX"/>
      </w:rPr>
    </w:pPr>
    <w:r>
      <w:rPr>
        <w:noProof/>
      </w:rPr>
      <w:drawing>
        <wp:anchor distT="0" distB="0" distL="114300" distR="114300" simplePos="false" relativeHeight="4" behindDoc="false" locked="false" layoutInCell="true" allowOverlap="true">
          <wp:simplePos x="0" y="0"/>
          <wp:positionH relativeFrom="margin">
            <wp:posOffset>5300345</wp:posOffset>
          </wp:positionH>
          <wp:positionV relativeFrom="paragraph">
            <wp:posOffset>85688</wp:posOffset>
          </wp:positionV>
          <wp:extent cx="647700" cy="729615"/>
          <wp:effectExtent l="0" t="0" r="0" b="0"/>
          <wp:wrapThrough wrapText="bothSides">
            <wp:wrapPolygon edited="false">
              <wp:start x="2541" y="0"/>
              <wp:lineTo x="2541" y="9023"/>
              <wp:lineTo x="0" y="16355"/>
              <wp:lineTo x="0" y="20867"/>
              <wp:lineTo x="20965" y="20867"/>
              <wp:lineTo x="20965" y="16355"/>
              <wp:lineTo x="18424" y="9023"/>
              <wp:lineTo x="18424" y="0"/>
              <wp:lineTo x="2541" y="0"/>
            </wp:wrapPolygon>
          </wp:wrapThrough>
          <wp:docPr id="4099" name="image4.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2" name="image4.png"/>
                  <pic:cNvPicPr/>
                </pic:nvPicPr>
                <pic:blipFill>
                  <a:blip r:embed="rId1" cstate="print"/>
                  <a:srcRect l="0" t="0" r="0" b="0"/>
                  <a:stretch/>
                </pic:blipFill>
                <pic:spPr>
                  <a:xfrm rot="0">
                    <a:off x="0" y="0"/>
                    <a:ext cx="647700" cy="729615"/>
                  </a:xfrm>
                  <a:prstGeom prst="rect"/>
                  <a:ln>
                    <a:noFill/>
                  </a:ln>
                </pic:spPr>
              </pic:pic>
            </a:graphicData>
          </a:graphic>
          <wp14:sizeRelV relativeFrom="margin">
            <wp14:pctHeight>0</wp14:pctHeight>
          </wp14:sizeRelV>
        </wp:anchor>
      </w:drawing>
    </w:r>
    <w:r>
      <w:rPr>
        <w:rFonts w:ascii="Arial" w:cs="Arial" w:hAnsi="Arial"/>
        <w:sz w:val="16"/>
        <w:szCs w:val="16"/>
        <w:lang w:val="es-MX"/>
      </w:rPr>
      <w:t>Carrera 5 No. 12 C – 40</w:t>
    </w:r>
  </w:p>
  <w:p>
    <w:pPr>
      <w:pStyle w:val="style157"/>
      <w:rPr>
        <w:rFonts w:ascii="Arial" w:cs="Arial" w:hAnsi="Arial"/>
        <w:sz w:val="16"/>
        <w:szCs w:val="16"/>
        <w:lang w:val="es-MX"/>
      </w:rPr>
    </w:pPr>
    <w:r>
      <w:rPr>
        <w:rFonts w:ascii="Arial" w:cs="Arial" w:hAnsi="Arial"/>
        <w:sz w:val="16"/>
        <w:szCs w:val="16"/>
        <w:lang w:val="es-MX"/>
      </w:rPr>
      <w:t>Código Postal: 111711</w:t>
    </w:r>
  </w:p>
  <w:p>
    <w:pPr>
      <w:pStyle w:val="style157"/>
      <w:rPr>
        <w:rFonts w:ascii="Arial" w:cs="Arial" w:hAnsi="Arial"/>
        <w:sz w:val="16"/>
        <w:szCs w:val="16"/>
        <w:lang w:val="es-MX"/>
      </w:rPr>
    </w:pPr>
    <w:r>
      <w:rPr>
        <w:rFonts w:ascii="Arial" w:cs="Arial" w:hAnsi="Arial"/>
        <w:sz w:val="16"/>
        <w:szCs w:val="16"/>
        <w:lang w:val="es-MX"/>
      </w:rPr>
      <w:t xml:space="preserve">Tel. 3416009 </w:t>
    </w:r>
    <w:r>
      <w:rPr>
        <w:rFonts w:ascii="Arial" w:cs="Arial" w:hAnsi="Arial"/>
        <w:sz w:val="16"/>
        <w:szCs w:val="16"/>
        <w:lang w:val="es-MX"/>
      </w:rPr>
      <w:t>–</w:t>
    </w:r>
    <w:r>
      <w:rPr>
        <w:rFonts w:ascii="Arial" w:cs="Arial" w:hAnsi="Arial"/>
        <w:sz w:val="16"/>
        <w:szCs w:val="16"/>
        <w:lang w:val="es-MX"/>
      </w:rPr>
      <w:t xml:space="preserve"> 3410261</w:t>
    </w:r>
    <w:r>
      <w:rPr>
        <w:rFonts w:ascii="Arial" w:cs="Arial" w:hAnsi="Arial"/>
        <w:sz w:val="16"/>
        <w:szCs w:val="16"/>
        <w:lang w:val="es-MX"/>
      </w:rPr>
      <w:t xml:space="preserve"> </w:t>
    </w:r>
  </w:p>
  <w:p>
    <w:pPr>
      <w:pStyle w:val="style157"/>
      <w:rPr>
        <w:rFonts w:ascii="Arial" w:cs="Arial" w:hAnsi="Arial"/>
        <w:sz w:val="16"/>
        <w:szCs w:val="16"/>
        <w:lang w:val="es-MX"/>
      </w:rPr>
    </w:pPr>
    <w:r>
      <w:rPr>
        <w:rFonts w:ascii="Arial" w:cs="Arial" w:hAnsi="Arial"/>
        <w:sz w:val="16"/>
        <w:szCs w:val="16"/>
        <w:lang w:val="es-MX"/>
      </w:rPr>
      <w:t>Información Línea 195</w:t>
    </w:r>
  </w:p>
  <w:p>
    <w:pPr>
      <w:pStyle w:val="style32"/>
      <w:rPr>
        <w:lang w:val="es-MX"/>
      </w:rPr>
    </w:pPr>
  </w:p>
  <w:p>
    <w:pPr>
      <w:pStyle w:val="style157"/>
      <w:rPr>
        <w:rFonts w:ascii="Arial" w:cs="Arial" w:hAnsi="Arial"/>
        <w:sz w:val="16"/>
        <w:szCs w:val="16"/>
        <w:lang w:val="es-MX"/>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29"/>
        <w:jc w:val="both"/>
        <w:rPr/>
      </w:pPr>
      <w:r>
        <w:rPr>
          <w:rStyle w:val="style38"/>
        </w:rPr>
        <w:footnoteRef/>
      </w:r>
      <w:r>
        <w:t xml:space="preserve"> Monografía de localidades:</w:t>
      </w:r>
      <w:r>
        <w:t xml:space="preserve"> Diagnóstico de los </w:t>
      </w:r>
      <w:r>
        <w:t>principales</w:t>
      </w:r>
      <w:r>
        <w:t xml:space="preserve"> aspectos territoriales, de infraestructura, demográficos y socioeconómicos</w:t>
      </w:r>
      <w:r>
        <w:t>. Secretaría Distrital de Planeación, Septiembre de 2018.</w:t>
      </w:r>
    </w:p>
  </w:footnote>
  <w:footnote w:id="2">
    <w:p>
      <w:pPr>
        <w:pStyle w:val="style29"/>
        <w:rPr>
          <w:lang w:val="en-US"/>
        </w:rPr>
      </w:pPr>
      <w:r>
        <w:rPr>
          <w:rStyle w:val="style38"/>
        </w:rPr>
        <w:footnoteRef/>
      </w:r>
      <w:r>
        <w:t xml:space="preserve"> Monografía de localidades:</w:t>
      </w:r>
      <w:r>
        <w:t xml:space="preserve"> Diagnóstico de los </w:t>
      </w:r>
      <w:r>
        <w:t>principales</w:t>
      </w:r>
      <w:r>
        <w:t xml:space="preserve"> aspectos territoriales, de infraestructura, demográficos y socioeconómicos</w:t>
      </w:r>
      <w:r>
        <w:t xml:space="preserve">. Secretaría Distrital de Planeación, Septiembre de 2018. </w:t>
      </w:r>
    </w:p>
    <w:p>
      <w:pPr>
        <w:pStyle w:val="style29"/>
        <w:rPr/>
      </w:pPr>
    </w:p>
  </w:footnote>
  <w:footnote w:id="3">
    <w:p>
      <w:pPr>
        <w:pStyle w:val="style29"/>
        <w:rPr/>
      </w:pPr>
      <w:r>
        <w:rPr>
          <w:rStyle w:val="style38"/>
        </w:rPr>
        <w:footnoteRef/>
      </w:r>
      <w:r>
        <w:t xml:space="preserve"> </w:t>
      </w:r>
      <w:r>
        <w:rPr>
          <w:rFonts w:ascii="Calibri" w:cs="Calibri" w:hAnsi="Calibri"/>
        </w:rPr>
        <w:t>Monografía de localidades: Diagnóstico de los principales aspectos territoriales, de infraestructura, demográficos y socioeconómicos. Secretaría Distrital de Planeación, Septiembre de 2018.</w:t>
      </w:r>
    </w:p>
  </w:footnote>
  <w:footnote w:id="4">
    <w:p>
      <w:pPr>
        <w:pStyle w:val="style29"/>
        <w:rPr/>
      </w:pPr>
      <w:r>
        <w:rPr>
          <w:rStyle w:val="style38"/>
        </w:rPr>
        <w:footnoteRef/>
      </w:r>
      <w:r>
        <w:t xml:space="preserve"> </w:t>
      </w:r>
      <w:r>
        <w:rPr>
          <w:rFonts w:ascii="Calibri" w:cs="Calibri" w:hAnsi="Calibri"/>
        </w:rPr>
        <w:t>Monografía de localidades: Diagnóstico de los principales aspectos territoriales, de infraestructura, demográficos y socioeconómicos. Secretaría Distrital de Planeación, septiembre de 2018.</w:t>
      </w:r>
    </w:p>
  </w:footnote>
  <w:footnote w:id="5">
    <w:p>
      <w:pPr>
        <w:pStyle w:val="style29"/>
        <w:rPr/>
      </w:pPr>
      <w:r>
        <w:rPr>
          <w:rStyle w:val="style38"/>
        </w:rPr>
        <w:footnoteRef/>
      </w:r>
      <w:r>
        <w:t xml:space="preserve"> Ibid</w:t>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noProof/>
        <w:lang w:eastAsia="es-CO"/>
      </w:rPr>
      <w:drawing>
        <wp:anchor distT="0" distB="0" distL="114300" distR="114300" simplePos="false" relativeHeight="2" behindDoc="false" locked="false" layoutInCell="true" allowOverlap="true">
          <wp:simplePos x="0" y="0"/>
          <wp:positionH relativeFrom="column">
            <wp:posOffset>0</wp:posOffset>
          </wp:positionH>
          <wp:positionV relativeFrom="paragraph">
            <wp:posOffset>-276860</wp:posOffset>
          </wp:positionV>
          <wp:extent cx="1115695" cy="535940"/>
          <wp:effectExtent l="0" t="0" r="0" b="0"/>
          <wp:wrapSquare wrapText="bothSides"/>
          <wp:docPr id="4097"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 cstate="print"/>
                  <a:srcRect l="0" t="0" r="49338" b="0"/>
                  <a:stretch/>
                </pic:blipFill>
                <pic:spPr>
                  <a:xfrm rot="0">
                    <a:off x="0" y="0"/>
                    <a:ext cx="1115695" cy="535940"/>
                  </a:xfrm>
                  <a:prstGeom prst="rect"/>
                  <a:ln cmpd="sng" cap="flat" w="9525">
                    <a:solidFill>
                      <a:srgbClr val="000000"/>
                    </a:solidFill>
                    <a:prstDash val="solid"/>
                    <a:round/>
                    <a:headEnd len="med" w="med" type="none"/>
                    <a:tailEnd len="med" w="med" type="none"/>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A24CABB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cs="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cs="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cs="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12BAD2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0000002"/>
    <w:multiLevelType w:val="hybridMultilevel"/>
    <w:tmpl w:val="3EAA7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cs="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cs="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cs="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5DF8809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cs="Courier New" w:hAnsi="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cs="Courier New" w:hAnsi="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cs="Courier New" w:hAnsi="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nsid w:val="00000004"/>
    <w:multiLevelType w:val="hybridMultilevel"/>
    <w:tmpl w:val="EE0CCFF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cs="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cs="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cs="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0000005"/>
    <w:multiLevelType w:val="hybridMultilevel"/>
    <w:tmpl w:val="2DE2BDB0"/>
    <w:lvl w:ilvl="0" w:tplc="10563464">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A348952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cs="Courier New" w:hAnsi="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cs="Courier New" w:hAnsi="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cs="Courier New" w:hAnsi="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00000007"/>
    <w:multiLevelType w:val="multilevel"/>
    <w:tmpl w:val="315A98BA"/>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8">
    <w:nsid w:val="00000008"/>
    <w:multiLevelType w:val="hybridMultilevel"/>
    <w:tmpl w:val="29BA07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00000009"/>
    <w:multiLevelType w:val="hybridMultilevel"/>
    <w:tmpl w:val="9BACBC9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cs="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cs="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cs="Courier New" w:hAnsi="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3"/>
  </w:num>
  <w:num w:numId="6">
    <w:abstractNumId w:val="7"/>
  </w:num>
  <w:num w:numId="7">
    <w:abstractNumId w:val="8"/>
  </w:num>
  <w:num w:numId="8">
    <w:abstractNumId w:val="0"/>
  </w:num>
  <w:num w:numId="9">
    <w:abstractNumId w:val="4"/>
  </w:num>
  <w:num w:numId="10">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rPr>
      <w:lang w:val="es-CO"/>
    </w:rPr>
  </w:style>
  <w:style w:type="paragraph" w:styleId="style1">
    <w:name w:val="heading 1"/>
    <w:basedOn w:val="style0"/>
    <w:next w:val="style0"/>
    <w:link w:val="style4102"/>
    <w:qFormat/>
    <w:uiPriority w:val="9"/>
    <w:pPr>
      <w:keepNext/>
      <w:keepLines/>
      <w:spacing w:before="240" w:after="0"/>
      <w:outlineLvl w:val="0"/>
    </w:pPr>
    <w:rPr>
      <w:rFonts w:ascii="Calibri Light" w:cs="宋体" w:eastAsia="宋体" w:hAnsi="Calibri Light"/>
      <w:color w:val="2e74b5"/>
      <w:sz w:val="32"/>
      <w:szCs w:val="32"/>
    </w:rPr>
  </w:style>
  <w:style w:type="paragraph" w:styleId="style2">
    <w:name w:val="heading 2"/>
    <w:basedOn w:val="style0"/>
    <w:next w:val="style0"/>
    <w:link w:val="style4103"/>
    <w:qFormat/>
    <w:uiPriority w:val="9"/>
    <w:pPr>
      <w:keepNext/>
      <w:keepLines/>
      <w:spacing w:before="40" w:after="0"/>
      <w:outlineLvl w:val="1"/>
    </w:pPr>
    <w:rPr>
      <w:rFonts w:ascii="Calibri Light" w:cs="宋体" w:eastAsia="宋体" w:hAnsi="Calibri Light"/>
      <w:color w:val="2e74b5"/>
      <w:sz w:val="26"/>
      <w:szCs w:val="26"/>
    </w:rPr>
  </w:style>
  <w:style w:type="paragraph" w:styleId="style3">
    <w:name w:val="heading 3"/>
    <w:basedOn w:val="style0"/>
    <w:next w:val="style0"/>
    <w:link w:val="style4104"/>
    <w:qFormat/>
    <w:uiPriority w:val="9"/>
    <w:pPr>
      <w:keepNext/>
      <w:keepLines/>
      <w:spacing w:before="40" w:after="0"/>
      <w:outlineLvl w:val="2"/>
    </w:pPr>
    <w:rPr>
      <w:rFonts w:ascii="Calibri Light" w:cs="宋体" w:eastAsia="宋体" w:hAnsi="Calibri Light"/>
      <w:color w:val="1f4d78"/>
      <w:sz w:val="24"/>
      <w:szCs w:val="24"/>
    </w:rPr>
  </w:style>
  <w:style w:type="paragraph" w:styleId="style4">
    <w:name w:val="heading 4"/>
    <w:basedOn w:val="style0"/>
    <w:next w:val="style0"/>
    <w:link w:val="style4109"/>
    <w:qFormat/>
    <w:uiPriority w:val="9"/>
    <w:pPr>
      <w:keepNext/>
      <w:keepLines/>
      <w:spacing w:before="40" w:after="0"/>
      <w:outlineLvl w:val="3"/>
    </w:pPr>
    <w:rPr>
      <w:rFonts w:ascii="Calibri Light" w:cs="宋体" w:eastAsia="宋体" w:hAnsi="Calibri Light"/>
      <w:i/>
      <w:iCs/>
      <w:color w:val="2e74b5"/>
    </w:rPr>
  </w:style>
  <w:style w:type="paragraph" w:styleId="style5">
    <w:name w:val="heading 5"/>
    <w:basedOn w:val="style0"/>
    <w:next w:val="style0"/>
    <w:link w:val="style4110"/>
    <w:qFormat/>
    <w:uiPriority w:val="9"/>
    <w:pPr>
      <w:keepNext/>
      <w:keepLines/>
      <w:spacing w:before="40" w:after="0"/>
      <w:outlineLvl w:val="4"/>
    </w:pPr>
    <w:rPr>
      <w:rFonts w:ascii="Calibri Light" w:cs="宋体" w:eastAsia="宋体" w:hAnsi="Calibri Light"/>
      <w:color w:val="2e74b5"/>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419"/>
        <w:tab w:val="right" w:leader="none" w:pos="8838"/>
      </w:tabs>
      <w:spacing w:after="0" w:lineRule="auto" w:line="240"/>
    </w:pPr>
    <w:rPr/>
  </w:style>
  <w:style w:type="character" w:customStyle="1" w:styleId="style4097">
    <w:name w:val="Encabezado Car"/>
    <w:basedOn w:val="style65"/>
    <w:next w:val="style4097"/>
    <w:link w:val="style31"/>
    <w:uiPriority w:val="99"/>
  </w:style>
  <w:style w:type="paragraph" w:styleId="style32">
    <w:name w:val="footer"/>
    <w:basedOn w:val="style0"/>
    <w:next w:val="style32"/>
    <w:link w:val="style4098"/>
    <w:uiPriority w:val="99"/>
    <w:pPr>
      <w:tabs>
        <w:tab w:val="center" w:leader="none" w:pos="4419"/>
        <w:tab w:val="right" w:leader="none" w:pos="8838"/>
      </w:tabs>
      <w:spacing w:after="0" w:lineRule="auto" w:line="240"/>
    </w:pPr>
    <w:rPr/>
  </w:style>
  <w:style w:type="character" w:customStyle="1" w:styleId="style4098">
    <w:name w:val="Pie de página Car"/>
    <w:basedOn w:val="style65"/>
    <w:next w:val="style4098"/>
    <w:link w:val="style32"/>
    <w:uiPriority w:val="99"/>
  </w:style>
  <w:style w:type="character" w:customStyle="1" w:styleId="style4099">
    <w:name w:val="fontstyle01"/>
    <w:basedOn w:val="style65"/>
    <w:next w:val="style4099"/>
    <w:rPr>
      <w:rFonts w:ascii="Arial" w:cs="Arial" w:hAnsi="Arial" w:hint="default"/>
      <w:b w:val="false"/>
      <w:bCs w:val="false"/>
      <w:i w:val="false"/>
      <w:iCs w:val="false"/>
      <w:color w:val="000000"/>
      <w:sz w:val="22"/>
      <w:szCs w:val="22"/>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sz w:val="24"/>
      <w:szCs w:val="24"/>
    </w:rPr>
  </w:style>
  <w:style w:type="character" w:styleId="style87">
    <w:name w:val="Strong"/>
    <w:basedOn w:val="style65"/>
    <w:next w:val="style87"/>
    <w:qFormat/>
    <w:uiPriority w:val="22"/>
    <w:rPr>
      <w:b/>
      <w:bCs/>
    </w:rPr>
  </w:style>
  <w:style w:type="character" w:customStyle="1" w:styleId="style4100">
    <w:name w:val="fontstyle21"/>
    <w:basedOn w:val="style65"/>
    <w:next w:val="style4100"/>
    <w:rPr>
      <w:rFonts w:ascii="Symbol" w:hAnsi="Symbol" w:hint="default"/>
      <w:b w:val="false"/>
      <w:bCs w:val="false"/>
      <w:i w:val="false"/>
      <w:iCs w:val="false"/>
      <w:color w:val="000000"/>
      <w:sz w:val="24"/>
      <w:szCs w:val="24"/>
    </w:rPr>
  </w:style>
  <w:style w:type="paragraph" w:styleId="style157">
    <w:name w:val="No Spacing"/>
    <w:next w:val="style157"/>
    <w:link w:val="style4101"/>
    <w:qFormat/>
    <w:uiPriority w:val="1"/>
    <w:pPr>
      <w:spacing w:after="0" w:lineRule="auto" w:line="240"/>
    </w:pPr>
    <w:rPr>
      <w:rFonts w:eastAsia="宋体"/>
      <w:lang w:val="es-CO" w:eastAsia="es-CO"/>
    </w:rPr>
  </w:style>
  <w:style w:type="character" w:customStyle="1" w:styleId="style4101">
    <w:name w:val="Sin espaciado Car"/>
    <w:next w:val="style4101"/>
    <w:link w:val="style157"/>
    <w:uiPriority w:val="1"/>
    <w:rPr>
      <w:rFonts w:eastAsia="宋体"/>
      <w:lang w:val="es-CO" w:eastAsia="es-CO"/>
    </w:rPr>
  </w:style>
  <w:style w:type="paragraph" w:styleId="style179">
    <w:name w:val="List Paragraph"/>
    <w:basedOn w:val="style0"/>
    <w:next w:val="style179"/>
    <w:qFormat/>
    <w:uiPriority w:val="34"/>
    <w:pPr>
      <w:ind w:left="720"/>
      <w:contextualSpacing/>
    </w:pPr>
    <w:rPr/>
  </w:style>
  <w:style w:type="character" w:customStyle="1" w:styleId="style4102">
    <w:name w:val="Título 1 Car"/>
    <w:basedOn w:val="style65"/>
    <w:next w:val="style4102"/>
    <w:link w:val="style1"/>
    <w:uiPriority w:val="9"/>
    <w:rPr>
      <w:rFonts w:ascii="Calibri Light" w:cs="宋体" w:eastAsia="宋体" w:hAnsi="Calibri Light"/>
      <w:color w:val="2e74b5"/>
      <w:sz w:val="32"/>
      <w:szCs w:val="32"/>
    </w:rPr>
  </w:style>
  <w:style w:type="character" w:customStyle="1" w:styleId="style4103">
    <w:name w:val="Título 2 Car"/>
    <w:basedOn w:val="style65"/>
    <w:next w:val="style4103"/>
    <w:link w:val="style2"/>
    <w:uiPriority w:val="9"/>
    <w:rPr>
      <w:rFonts w:ascii="Calibri Light" w:cs="宋体" w:eastAsia="宋体" w:hAnsi="Calibri Light"/>
      <w:color w:val="2e74b5"/>
      <w:sz w:val="26"/>
      <w:szCs w:val="26"/>
    </w:rPr>
  </w:style>
  <w:style w:type="character" w:customStyle="1" w:styleId="style4104">
    <w:name w:val="Título 3 Car"/>
    <w:basedOn w:val="style65"/>
    <w:next w:val="style4104"/>
    <w:link w:val="style3"/>
    <w:uiPriority w:val="9"/>
    <w:rPr>
      <w:rFonts w:ascii="Calibri Light" w:cs="宋体" w:eastAsia="宋体" w:hAnsi="Calibri Light"/>
      <w:color w:val="1f4d78"/>
      <w:sz w:val="24"/>
      <w:szCs w:val="24"/>
    </w:rPr>
  </w:style>
  <w:style w:type="paragraph" w:styleId="style266">
    <w:name w:val="TOC Heading"/>
    <w:basedOn w:val="style1"/>
    <w:next w:val="style0"/>
    <w:qFormat/>
    <w:uiPriority w:val="39"/>
    <w:pPr>
      <w:outlineLvl w:val="9"/>
    </w:pPr>
    <w:rPr/>
  </w:style>
  <w:style w:type="paragraph" w:styleId="style19">
    <w:name w:val="toc 1"/>
    <w:basedOn w:val="style0"/>
    <w:next w:val="style0"/>
    <w:uiPriority w:val="39"/>
    <w:pPr>
      <w:tabs>
        <w:tab w:val="right" w:leader="dot" w:pos="8828"/>
      </w:tabs>
      <w:spacing w:after="100"/>
      <w:jc w:val="both"/>
    </w:pPr>
    <w:rPr/>
  </w:style>
  <w:style w:type="paragraph" w:styleId="style20">
    <w:name w:val="toc 2"/>
    <w:basedOn w:val="style0"/>
    <w:next w:val="style0"/>
    <w:uiPriority w:val="39"/>
    <w:pPr>
      <w:spacing w:after="100"/>
      <w:ind w:left="220"/>
    </w:pPr>
    <w:rPr/>
  </w:style>
  <w:style w:type="paragraph" w:styleId="style21">
    <w:name w:val="toc 3"/>
    <w:basedOn w:val="style0"/>
    <w:next w:val="style0"/>
    <w:uiPriority w:val="39"/>
    <w:pPr>
      <w:spacing w:after="100"/>
      <w:ind w:left="440"/>
    </w:pPr>
    <w:rPr/>
  </w:style>
  <w:style w:type="character" w:styleId="style85">
    <w:name w:val="Hyperlink"/>
    <w:basedOn w:val="style65"/>
    <w:next w:val="style85"/>
    <w:uiPriority w:val="99"/>
    <w:rPr>
      <w:color w:val="0563c1"/>
      <w:u w:val="single"/>
    </w:rPr>
  </w:style>
  <w:style w:type="paragraph" w:styleId="style29">
    <w:name w:val="footnote text"/>
    <w:basedOn w:val="style0"/>
    <w:next w:val="style29"/>
    <w:link w:val="style4105"/>
    <w:uiPriority w:val="99"/>
    <w:pPr>
      <w:spacing w:after="0" w:lineRule="auto" w:line="240"/>
    </w:pPr>
    <w:rPr>
      <w:sz w:val="20"/>
      <w:szCs w:val="20"/>
    </w:rPr>
  </w:style>
  <w:style w:type="character" w:customStyle="1" w:styleId="style4105">
    <w:name w:val="Texto nota pie Car"/>
    <w:basedOn w:val="style65"/>
    <w:next w:val="style4105"/>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153">
    <w:name w:val="Balloon Text"/>
    <w:basedOn w:val="style0"/>
    <w:next w:val="style153"/>
    <w:link w:val="style4106"/>
    <w:uiPriority w:val="99"/>
    <w:pPr>
      <w:spacing w:after="0" w:lineRule="auto" w:line="240"/>
    </w:pPr>
    <w:rPr>
      <w:rFonts w:ascii="Segoe UI" w:cs="Segoe UI" w:hAnsi="Segoe UI"/>
      <w:sz w:val="18"/>
      <w:szCs w:val="18"/>
    </w:rPr>
  </w:style>
  <w:style w:type="character" w:customStyle="1" w:styleId="style4106">
    <w:name w:val="Texto de globo Car"/>
    <w:basedOn w:val="style65"/>
    <w:next w:val="style4106"/>
    <w:link w:val="style153"/>
    <w:uiPriority w:val="99"/>
    <w:rPr>
      <w:rFonts w:ascii="Segoe UI" w:cs="Segoe UI" w:hAnsi="Segoe UI"/>
      <w:sz w:val="18"/>
      <w:szCs w:val="18"/>
    </w:r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07"/>
    <w:uiPriority w:val="99"/>
    <w:pPr>
      <w:spacing w:lineRule="auto" w:line="240"/>
    </w:pPr>
    <w:rPr>
      <w:sz w:val="20"/>
      <w:szCs w:val="20"/>
    </w:rPr>
  </w:style>
  <w:style w:type="character" w:customStyle="1" w:styleId="style4107">
    <w:name w:val="Texto comentario Car"/>
    <w:basedOn w:val="style65"/>
    <w:next w:val="style4107"/>
    <w:link w:val="style30"/>
    <w:uiPriority w:val="99"/>
    <w:rPr>
      <w:sz w:val="20"/>
      <w:szCs w:val="20"/>
    </w:rPr>
  </w:style>
  <w:style w:type="paragraph" w:styleId="style106">
    <w:name w:val="annotation subject"/>
    <w:basedOn w:val="style30"/>
    <w:next w:val="style30"/>
    <w:link w:val="style4108"/>
    <w:uiPriority w:val="99"/>
    <w:pPr/>
    <w:rPr>
      <w:b/>
      <w:bCs/>
    </w:rPr>
  </w:style>
  <w:style w:type="character" w:customStyle="1" w:styleId="style4108">
    <w:name w:val="Asunto del comentario Car"/>
    <w:basedOn w:val="style4107"/>
    <w:next w:val="style4108"/>
    <w:link w:val="style106"/>
    <w:uiPriority w:val="99"/>
    <w:rPr>
      <w:b/>
      <w:bCs/>
      <w:sz w:val="20"/>
      <w:szCs w:val="20"/>
    </w:rPr>
  </w:style>
  <w:style w:type="paragraph" w:styleId="style178">
    <w:name w:val="Revision"/>
    <w:next w:val="style178"/>
    <w:uiPriority w:val="99"/>
    <w:pPr>
      <w:spacing w:after="0" w:lineRule="auto" w:line="240"/>
    </w:pPr>
    <w:rPr/>
  </w:style>
  <w:style w:type="character" w:customStyle="1" w:styleId="style4109">
    <w:name w:val="Título 4 Car"/>
    <w:basedOn w:val="style65"/>
    <w:next w:val="style4109"/>
    <w:link w:val="style4"/>
    <w:uiPriority w:val="9"/>
    <w:rPr>
      <w:rFonts w:ascii="Calibri Light" w:cs="宋体" w:eastAsia="宋体" w:hAnsi="Calibri Light"/>
      <w:i/>
      <w:iCs/>
      <w:color w:val="2e74b5"/>
      <w:lang w:val="es-CO"/>
    </w:rPr>
  </w:style>
  <w:style w:type="character" w:customStyle="1" w:styleId="style4110">
    <w:name w:val="Título 5 Car"/>
    <w:basedOn w:val="style65"/>
    <w:next w:val="style4110"/>
    <w:link w:val="style5"/>
    <w:uiPriority w:val="9"/>
    <w:rPr>
      <w:rFonts w:ascii="Calibri Light" w:cs="宋体" w:eastAsia="宋体" w:hAnsi="Calibri Light"/>
      <w:color w:val="2e74b5"/>
      <w:lang w:val="es-CO"/>
    </w:rPr>
  </w:style>
  <w:style w:type="character" w:customStyle="1" w:styleId="style4111">
    <w:name w:val="highlight"/>
    <w:basedOn w:val="style65"/>
    <w:next w:val="style4111"/>
  </w:style>
  <w:style w:type="paragraph" w:styleId="style34">
    <w:name w:val="caption"/>
    <w:basedOn w:val="style0"/>
    <w:next w:val="style0"/>
    <w:qFormat/>
    <w:uiPriority w:val="35"/>
    <w:pPr>
      <w:spacing w:lineRule="auto" w:line="240"/>
    </w:pPr>
    <w:rPr>
      <w:rFonts w:eastAsia="宋体"/>
      <w:b/>
      <w:bCs/>
      <w:smallCaps/>
      <w:color w:val="44546a"/>
      <w:lang w:eastAsia="es-CO"/>
    </w:rPr>
  </w:style>
  <w:style w:type="table" w:customStyle="1" w:styleId="style4112">
    <w:name w:val="Lista clara - Énfasis 11"/>
    <w:basedOn w:val="style105"/>
    <w:next w:val="style4112"/>
    <w:uiPriority w:val="61"/>
    <w:pPr>
      <w:spacing w:after="0" w:lineRule="auto" w:line="240"/>
    </w:pPr>
    <w:rPr>
      <w:rFonts w:eastAsia="宋体"/>
      <w:lang w:val="es-CO" w:eastAsia="es-CO"/>
    </w:rPr>
    <w:tblPr>
      <w:tblStyleRowBandSize w:val="1"/>
      <w:tblStyleColBandSize w:val="1"/>
      <w:tblInd w:w="0" w:type="nil"/>
      <w:tblBorders>
        <w:top w:val="single" w:sz="8" w:space="0" w:color="5b9bd5"/>
        <w:left w:val="single" w:sz="8" w:space="0" w:color="5b9bd5"/>
        <w:bottom w:val="single" w:sz="8" w:space="0" w:color="5b9bd5"/>
        <w:right w:val="single" w:sz="8" w:space="0" w:color="5b9bd5"/>
      </w:tblBorders>
    </w:tblPr>
    <w:tblStylePr w:type="firstRow">
      <w:pPr>
        <w:spacing w:before="0" w:beforeAutospacing="false" w:after="0" w:afterAutospacing="false" w:lineRule="auto" w:line="240"/>
      </w:pPr>
      <w:rPr>
        <w:b/>
        <w:bCs/>
        <w:color w:val="ffffff"/>
      </w:rPr>
      <w:tblPr/>
      <w:tcPr>
        <w:tcBorders/>
        <w:shd w:val="clear" w:color="auto" w:fill="5b9bd5"/>
      </w:tcPr>
    </w:tblStylePr>
    <w:tblStylePr w:type="lastRow">
      <w:pPr>
        <w:spacing w:before="0" w:beforeAutospacing="false" w:after="0" w:afterAutospacing="false" w:lineRule="auto" w:line="240"/>
      </w:pPr>
      <w:rPr>
        <w:b/>
        <w:bCs/>
      </w:rPr>
      <w:tblPr/>
      <w:tcPr>
        <w:tcBorders>
          <w:top w:val="double" w:sz="6" w:space="0" w:color="5b9bd5"/>
          <w:left w:val="single" w:sz="8" w:space="0" w:color="5b9bd5"/>
          <w:bottom w:val="single" w:sz="8" w:space="0" w:color="5b9bd5"/>
          <w:right w:val="single" w:sz="8" w:space="0" w:color="5b9bd5"/>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5b9bd5"/>
          <w:left w:val="single" w:sz="8" w:space="0" w:color="5b9bd5"/>
          <w:bottom w:val="single" w:sz="8" w:space="0" w:color="5b9bd5"/>
          <w:right w:val="single" w:sz="8" w:space="0" w:color="5b9bd5"/>
        </w:tcBorders>
      </w:tcPr>
    </w:tblStylePr>
    <w:tcPr>
      <w:tcBorders/>
    </w:tc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113">
    <w:name w:val="Lista clara - Énfasis 111"/>
    <w:basedOn w:val="style105"/>
    <w:next w:val="style4113"/>
    <w:uiPriority w:val="61"/>
    <w:pPr>
      <w:spacing w:after="0" w:lineRule="auto" w:line="240"/>
    </w:pPr>
    <w:rPr>
      <w:rFonts w:eastAsia="宋体"/>
      <w:lang w:val="es-CO" w:eastAsia="es-CO"/>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Rule="auto" w:line="240"/>
      </w:pPr>
      <w:rPr>
        <w:b/>
        <w:bCs/>
        <w:color w:val="ffffff"/>
      </w:rPr>
      <w:tblPr/>
      <w:tcPr>
        <w:tcBorders/>
        <w:shd w:val="clear" w:color="auto" w:fill="5b9bd5"/>
      </w:tcPr>
    </w:tblStylePr>
    <w:tblStylePr w:type="lastRow">
      <w:pPr>
        <w:spacing w:before="0" w:after="0" w:lineRule="auto" w:line="240"/>
      </w:pPr>
      <w:rPr>
        <w:b/>
        <w:bCs/>
      </w:rPr>
      <w:tblPr/>
      <w:tcPr>
        <w:tcBorders>
          <w:top w:val="double" w:sz="6" w:space="0" w:color="5b9bd5"/>
          <w:left w:val="single" w:sz="8" w:space="0" w:color="5b9bd5"/>
          <w:bottom w:val="single" w:sz="8" w:space="0" w:color="5b9bd5"/>
          <w:right w:val="single" w:sz="8" w:space="0" w:color="5b9bd5"/>
        </w:tcBorders>
      </w:tcPr>
    </w:tblStylePr>
    <w:tblStylePr w:type="band1Horz">
      <w:pPr/>
      <w:tblPr/>
      <w:tcPr>
        <w:tcBorders>
          <w:top w:val="single" w:sz="8" w:space="0" w:color="5b9bd5"/>
          <w:left w:val="single" w:sz="8" w:space="0" w:color="5b9bd5"/>
          <w:bottom w:val="single" w:sz="8" w:space="0" w:color="5b9bd5"/>
          <w:right w:val="single" w:sz="8" w:space="0" w:color="5b9bd5"/>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5b9bd5"/>
          <w:left w:val="single" w:sz="8" w:space="0" w:color="5b9bd5"/>
          <w:bottom w:val="single" w:sz="8" w:space="0" w:color="5b9bd5"/>
          <w:right w:val="single" w:sz="8" w:space="0" w:color="5b9bd5"/>
        </w:tcBorders>
      </w:tcPr>
    </w:tblStylePr>
    <w:tcPr>
      <w:tcBorders/>
    </w:tcPr>
  </w:style>
  <w:style w:type="paragraph" w:customStyle="1" w:styleId="style4114">
    <w:name w:val="Standard"/>
    <w:next w:val="style4114"/>
    <w:pPr>
      <w:suppressAutoHyphens/>
      <w:autoSpaceDN w:val="false"/>
      <w:spacing w:after="0" w:lineRule="auto" w:line="240"/>
      <w:textAlignment w:val="baseline"/>
    </w:pPr>
    <w:rPr>
      <w:rFonts w:ascii="Times New Roman" w:cs="Times New Roman" w:eastAsia="Times New Roman" w:hAnsi="Times New Roman"/>
      <w:kern w:val="3"/>
      <w:sz w:val="20"/>
      <w:szCs w:val="20"/>
      <w:lang w:val="es-CO" w:eastAsia="zh-CN"/>
    </w:rPr>
  </w:style>
  <w:style w:type="character" w:styleId="style86">
    <w:name w:val="FollowedHyperlink"/>
    <w:basedOn w:val="style65"/>
    <w:next w:val="style86"/>
    <w:uiPriority w:val="99"/>
    <w:rPr>
      <w:color w:val="954f72"/>
      <w:u w:val="single"/>
    </w:rPr>
  </w:style>
</w:styles>
</file>

<file path=word/_rels/document.xml.rels><?xml version="1.0" encoding="UTF-8"?>
<Relationships xmlns="http://schemas.openxmlformats.org/package/2006/relationships"><Relationship Id="rId40" Type="http://schemas.openxmlformats.org/officeDocument/2006/relationships/image" Target="media/image31.png"/><Relationship Id="rId42" Type="http://schemas.openxmlformats.org/officeDocument/2006/relationships/image" Target="media/image33.png"/><Relationship Id="rId41" Type="http://schemas.openxmlformats.org/officeDocument/2006/relationships/image" Target="media/image32.png"/><Relationship Id="rId44" Type="http://schemas.openxmlformats.org/officeDocument/2006/relationships/image" Target="media/image35.png"/><Relationship Id="rId43" Type="http://schemas.openxmlformats.org/officeDocument/2006/relationships/image" Target="media/image34.png"/><Relationship Id="rId46" Type="http://schemas.openxmlformats.org/officeDocument/2006/relationships/image" Target="media/image3.emf"/><Relationship Id="rId45" Type="http://schemas.openxmlformats.org/officeDocument/2006/relationships/image" Target="media/image36.png"/><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image" Target="media/image1.png"/><Relationship Id="rId9" Type="http://schemas.openxmlformats.org/officeDocument/2006/relationships/diagramData" Target="diagrams/data1.xml"/><Relationship Id="rId48" Type="http://schemas.openxmlformats.org/officeDocument/2006/relationships/image" Target="media/image38.png"/><Relationship Id="rId47" Type="http://schemas.openxmlformats.org/officeDocument/2006/relationships/image" Target="media/image37.png"/><Relationship Id="rId49" Type="http://schemas.openxmlformats.org/officeDocument/2006/relationships/footer" Target="footer3.xml"/><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31" Type="http://schemas.openxmlformats.org/officeDocument/2006/relationships/image" Target="media/image23.png"/><Relationship Id="rId30" Type="http://schemas.openxmlformats.org/officeDocument/2006/relationships/image" Target="media/image22.png"/><Relationship Id="rId33" Type="http://schemas.openxmlformats.org/officeDocument/2006/relationships/image" Target="media/image25.png"/><Relationship Id="rId32" Type="http://schemas.openxmlformats.org/officeDocument/2006/relationships/image" Target="media/image24.png"/><Relationship Id="rId35" Type="http://schemas.openxmlformats.org/officeDocument/2006/relationships/image" Target="media/image26.png"/><Relationship Id="rId34" Type="http://schemas.openxmlformats.org/officeDocument/2006/relationships/image" Target="media/image2.emf"/><Relationship Id="rId37" Type="http://schemas.openxmlformats.org/officeDocument/2006/relationships/image" Target="media/image28.png"/><Relationship Id="rId36" Type="http://schemas.openxmlformats.org/officeDocument/2006/relationships/image" Target="media/image27.png"/><Relationship Id="rId39" Type="http://schemas.openxmlformats.org/officeDocument/2006/relationships/image" Target="media/image30.png"/><Relationship Id="rId38" Type="http://schemas.openxmlformats.org/officeDocument/2006/relationships/image" Target="media/image29.png"/><Relationship Id="rId20" Type="http://schemas.openxmlformats.org/officeDocument/2006/relationships/image" Target="media/image13.png"/><Relationship Id="rId22" Type="http://schemas.microsoft.com/office/2007/relationships/diagramDrawing" Target="diagrams/drawing1.xml"/><Relationship Id="rId21" Type="http://schemas.openxmlformats.org/officeDocument/2006/relationships/image" Target="media/image14.png"/><Relationship Id="rId24" Type="http://schemas.openxmlformats.org/officeDocument/2006/relationships/image" Target="media/image16.png"/><Relationship Id="rId23" Type="http://schemas.openxmlformats.org/officeDocument/2006/relationships/image" Target="media/image15.png"/><Relationship Id="rId26" Type="http://schemas.openxmlformats.org/officeDocument/2006/relationships/image" Target="media/image18.png"/><Relationship Id="rId25" Type="http://schemas.openxmlformats.org/officeDocument/2006/relationships/image" Target="media/image17.png"/><Relationship Id="rId28" Type="http://schemas.openxmlformats.org/officeDocument/2006/relationships/image" Target="media/image20.png"/><Relationship Id="rId27" Type="http://schemas.openxmlformats.org/officeDocument/2006/relationships/image" Target="media/image19.png"/><Relationship Id="rId29" Type="http://schemas.openxmlformats.org/officeDocument/2006/relationships/image" Target="media/image21.png"/><Relationship Id="rId51" Type="http://schemas.openxmlformats.org/officeDocument/2006/relationships/styles" Target="styles.xml"/><Relationship Id="rId50" Type="http://schemas.openxmlformats.org/officeDocument/2006/relationships/footnotes" Target="footnotes.xml"/><Relationship Id="rId53" Type="http://schemas.openxmlformats.org/officeDocument/2006/relationships/settings" Target="settings.xml"/><Relationship Id="rId52" Type="http://schemas.openxmlformats.org/officeDocument/2006/relationships/fontTable" Target="fontTable.xml"/><Relationship Id="rId11" Type="http://schemas.openxmlformats.org/officeDocument/2006/relationships/diagramQuickStyle" Target="diagrams/quickStyle1.xml"/><Relationship Id="rId55" Type="http://schemas.openxmlformats.org/officeDocument/2006/relationships/customXml" Target="../customXml/item1.xml"/><Relationship Id="rId10" Type="http://schemas.openxmlformats.org/officeDocument/2006/relationships/diagramLayout" Target="diagrams/layout1.xml"/><Relationship Id="rId54" Type="http://schemas.openxmlformats.org/officeDocument/2006/relationships/theme" Target="theme/theme1.xml"/><Relationship Id="rId13" Type="http://schemas.openxmlformats.org/officeDocument/2006/relationships/image" Target="media/image6.png"/><Relationship Id="rId12" Type="http://schemas.openxmlformats.org/officeDocument/2006/relationships/diagramColors" Target="diagrams/colors2.xml"/><Relationship Id="rId15" Type="http://schemas.openxmlformats.org/officeDocument/2006/relationships/image" Target="media/image8.png"/><Relationship Id="rId14" Type="http://schemas.openxmlformats.org/officeDocument/2006/relationships/image" Target="media/image7.png"/><Relationship Id="rId17" Type="http://schemas.openxmlformats.org/officeDocument/2006/relationships/image" Target="media/image10.png"/><Relationship Id="rId16" Type="http://schemas.openxmlformats.org/officeDocument/2006/relationships/image" Target="media/image9.png"/><Relationship Id="rId19" Type="http://schemas.openxmlformats.org/officeDocument/2006/relationships/image" Target="media/image12.png"/><Relationship Id="rId18" Type="http://schemas.openxmlformats.org/officeDocument/2006/relationships/image" Target="media/image11.png"/></Relationships>
</file>

<file path=word/_rels/footer2.xml.rels><?xml version="1.0" encoding="UTF-8"?>
<Relationships xmlns="http://schemas.openxmlformats.org/package/2006/relationships"><Relationship Id="rId1" Type="http://schemas.openxmlformats.org/officeDocument/2006/relationships/image" Target="media/image40.png"/></Relationships>
</file>

<file path=word/_rels/footer3.xml.rels><?xml version="1.0" encoding="UTF-8"?>
<Relationships xmlns="http://schemas.openxmlformats.org/package/2006/relationships"><Relationship Id="rId1" Type="http://schemas.openxmlformats.org/officeDocument/2006/relationships/image" Target="media/image41.png"/></Relationships>
</file>

<file path=word/_rels/header1.xml.rels><?xml version="1.0" encoding="UTF-8"?>
<Relationships xmlns="http://schemas.openxmlformats.org/package/2006/relationships"><Relationship Id="rId1" Type="http://schemas.openxmlformats.org/officeDocument/2006/relationships/image" Target="media/image39.png"/></Relationships>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6CB7DD-C4C1-40A2-87CB-4B09DD0663AD}"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s-CO"/>
        </a:p>
      </dgm:t>
    </dgm:pt>
    <dgm:pt modelId="{33D8B767-E395-494E-9972-9BF7CA508793}" type="asst">
      <dgm:prSet phldrT="[Texto]" custT="1"/>
      <dgm:spPr>
        <a:solidFill>
          <a:srgbClr val="C00000"/>
        </a:solidFill>
        <a:ln>
          <a:solidFill>
            <a:srgbClr val="C00000"/>
          </a:solidFill>
        </a:ln>
      </dgm:spPr>
      <dgm:t>
        <a:bodyPr/>
        <a:lstStyle/>
        <a:p>
          <a:r>
            <a:rPr lang="es-MX" sz="800" b="1" dirty="0">
              <a:solidFill>
                <a:schemeClr val="bg1"/>
              </a:solidFill>
              <a:latin typeface="Arial" panose="020B0604020202020204" pitchFamily="34" charset="0"/>
              <a:cs typeface="Arial" panose="020B0604020202020204" pitchFamily="34" charset="0"/>
            </a:rPr>
            <a:t>ÁREA GESTIÓN POLICIVA</a:t>
          </a:r>
        </a:p>
        <a:p>
          <a:r>
            <a:rPr lang="es-CO" sz="700" b="0" dirty="0">
              <a:solidFill>
                <a:schemeClr val="bg1"/>
              </a:solidFill>
              <a:latin typeface="Arial" panose="020B0604020202020204" pitchFamily="34" charset="0"/>
              <a:cs typeface="Arial" panose="020B0604020202020204" pitchFamily="34" charset="0"/>
            </a:rPr>
            <a:t>Planta: 2   Contratistas: 15</a:t>
          </a:r>
        </a:p>
      </dgm:t>
    </dgm:pt>
    <dgm:pt modelId="{BB11683B-C3D3-4A36-B100-F870ABDE97B3}" type="parTrans" cxnId="{0D5C9437-3221-449A-829E-CB70FF67E020}">
      <dgm:prSet/>
      <dgm:spPr>
        <a:ln>
          <a:solidFill>
            <a:schemeClr val="tx1">
              <a:lumMod val="50000"/>
              <a:lumOff val="50000"/>
            </a:schemeClr>
          </a:solidFill>
        </a:ln>
      </dgm:spPr>
      <dgm:t>
        <a:bodyPr/>
        <a:lstStyle/>
        <a:p>
          <a:endParaRPr lang="es-CO" sz="800">
            <a:latin typeface="Arial" panose="020B0604020202020204" pitchFamily="34" charset="0"/>
            <a:cs typeface="Arial" panose="020B0604020202020204" pitchFamily="34" charset="0"/>
          </a:endParaRPr>
        </a:p>
      </dgm:t>
    </dgm:pt>
    <dgm:pt modelId="{C1EDD751-897F-4A59-A441-BE33B478887E}" type="sibTrans" cxnId="{0D5C9437-3221-449A-829E-CB70FF67E020}">
      <dgm:prSet/>
      <dgm:spPr/>
      <dgm:t>
        <a:bodyPr/>
        <a:lstStyle/>
        <a:p>
          <a:endParaRPr lang="es-CO" sz="800">
            <a:latin typeface="Arial" panose="020B0604020202020204" pitchFamily="34" charset="0"/>
            <a:cs typeface="Arial" panose="020B0604020202020204" pitchFamily="34" charset="0"/>
          </a:endParaRPr>
        </a:p>
      </dgm:t>
    </dgm:pt>
    <dgm:pt modelId="{F9631930-97CB-47BE-BC8A-8AB5CFDC7057}">
      <dgm:prSet custT="1"/>
      <dgm:spPr>
        <a:solidFill>
          <a:schemeClr val="bg1">
            <a:lumMod val="50000"/>
          </a:schemeClr>
        </a:solidFill>
        <a:ln>
          <a:solidFill>
            <a:schemeClr val="bg1">
              <a:lumMod val="50000"/>
            </a:schemeClr>
          </a:solidFill>
        </a:ln>
      </dgm:spPr>
      <dgm:t>
        <a:bodyPr/>
        <a:lstStyle/>
        <a:p>
          <a:r>
            <a:rPr lang="es-MX" sz="800" b="1" dirty="0">
              <a:solidFill>
                <a:schemeClr val="bg1"/>
              </a:solidFill>
              <a:latin typeface="Arial" panose="020B0604020202020204" pitchFamily="34" charset="0"/>
              <a:cs typeface="Arial" panose="020B0604020202020204" pitchFamily="34" charset="0"/>
            </a:rPr>
            <a:t>Almacén</a:t>
          </a:r>
        </a:p>
        <a:p>
          <a:r>
            <a:rPr lang="es-MX" sz="700" b="0" dirty="0">
              <a:solidFill>
                <a:schemeClr val="bg1"/>
              </a:solidFill>
              <a:latin typeface="Arial" panose="020B0604020202020204" pitchFamily="34" charset="0"/>
              <a:cs typeface="Arial" panose="020B0604020202020204" pitchFamily="34" charset="0"/>
            </a:rPr>
            <a:t>Planta: 1  Contratista: 1</a:t>
          </a:r>
          <a:endParaRPr lang="es-CO" sz="700" b="0" dirty="0">
            <a:solidFill>
              <a:schemeClr val="bg1"/>
            </a:solidFill>
            <a:latin typeface="Arial" panose="020B0604020202020204" pitchFamily="34" charset="0"/>
            <a:cs typeface="Arial" panose="020B0604020202020204" pitchFamily="34" charset="0"/>
          </a:endParaRPr>
        </a:p>
      </dgm:t>
    </dgm:pt>
    <dgm:pt modelId="{2425CDC8-EC08-402A-AF52-1AE0E8B25E90}">
      <dgm:prSet custT="1"/>
      <dgm:spPr>
        <a:solidFill>
          <a:schemeClr val="bg1">
            <a:lumMod val="50000"/>
          </a:schemeClr>
        </a:solidFill>
        <a:ln>
          <a:solidFill>
            <a:schemeClr val="bg1">
              <a:lumMod val="50000"/>
            </a:schemeClr>
          </a:solidFill>
        </a:ln>
      </dgm:spPr>
      <dgm:t>
        <a:bodyPr/>
        <a:lstStyle/>
        <a:p>
          <a:r>
            <a:rPr lang="es-MX" sz="800" b="1" dirty="0">
              <a:solidFill>
                <a:schemeClr val="bg1"/>
              </a:solidFill>
              <a:latin typeface="Arial" panose="020B0604020202020204" pitchFamily="34" charset="0"/>
              <a:cs typeface="Arial" panose="020B0604020202020204" pitchFamily="34" charset="0"/>
            </a:rPr>
            <a:t>Presupuesto y contabilidad</a:t>
          </a:r>
        </a:p>
        <a:p>
          <a:r>
            <a:rPr lang="es-MX" sz="700" b="0" dirty="0">
              <a:solidFill>
                <a:schemeClr val="bg1"/>
              </a:solidFill>
              <a:latin typeface="Arial" panose="020B0604020202020204" pitchFamily="34" charset="0"/>
              <a:cs typeface="Arial" panose="020B0604020202020204" pitchFamily="34" charset="0"/>
            </a:rPr>
            <a:t>Planta: 2   Contratistas: 3</a:t>
          </a:r>
          <a:endParaRPr lang="es-CO" sz="700" b="0" dirty="0">
            <a:solidFill>
              <a:schemeClr val="bg1"/>
            </a:solidFill>
            <a:latin typeface="Arial" panose="020B0604020202020204" pitchFamily="34" charset="0"/>
            <a:cs typeface="Arial" panose="020B0604020202020204" pitchFamily="34" charset="0"/>
          </a:endParaRPr>
        </a:p>
      </dgm:t>
    </dgm:pt>
    <dgm:pt modelId="{B4E48C7B-9575-4B57-B20E-615B14FA8643}">
      <dgm:prSet custT="1"/>
      <dgm:spPr>
        <a:solidFill>
          <a:schemeClr val="bg1">
            <a:lumMod val="50000"/>
          </a:schemeClr>
        </a:solidFill>
        <a:ln>
          <a:solidFill>
            <a:schemeClr val="bg1">
              <a:lumMod val="50000"/>
            </a:schemeClr>
          </a:solidFill>
        </a:ln>
      </dgm:spPr>
      <dgm:t>
        <a:bodyPr/>
        <a:lstStyle/>
        <a:p>
          <a:pPr algn="ctr"/>
          <a:r>
            <a:rPr lang="es-MX" sz="800" b="1" dirty="0">
              <a:solidFill>
                <a:schemeClr val="bg1"/>
              </a:solidFill>
              <a:latin typeface="Arial" panose="020B0604020202020204" pitchFamily="34" charset="0"/>
              <a:cs typeface="Arial" panose="020B0604020202020204" pitchFamily="34" charset="0"/>
            </a:rPr>
            <a:t>Planeación</a:t>
          </a:r>
        </a:p>
        <a:p>
          <a:pPr algn="ctr"/>
          <a:r>
            <a:rPr lang="es-MX" sz="700" b="0" dirty="0">
              <a:solidFill>
                <a:schemeClr val="bg1"/>
              </a:solidFill>
              <a:latin typeface="Arial" panose="020B0604020202020204" pitchFamily="34" charset="0"/>
              <a:cs typeface="Arial" panose="020B0604020202020204" pitchFamily="34" charset="0"/>
            </a:rPr>
            <a:t>Planta: 6  Contratistas: 15</a:t>
          </a:r>
          <a:endParaRPr lang="es-CO" sz="700" b="0" dirty="0">
            <a:solidFill>
              <a:schemeClr val="bg1"/>
            </a:solidFill>
            <a:latin typeface="Arial" panose="020B0604020202020204" pitchFamily="34" charset="0"/>
            <a:cs typeface="Arial" panose="020B0604020202020204" pitchFamily="34" charset="0"/>
          </a:endParaRPr>
        </a:p>
      </dgm:t>
    </dgm:pt>
    <dgm:pt modelId="{5BA0BB91-EA03-49D3-A1A3-8D9D72050A01}">
      <dgm:prSet custT="1"/>
      <dgm:spPr>
        <a:solidFill>
          <a:schemeClr val="bg1">
            <a:lumMod val="50000"/>
          </a:schemeClr>
        </a:solidFill>
        <a:ln>
          <a:solidFill>
            <a:schemeClr val="bg1">
              <a:lumMod val="50000"/>
            </a:schemeClr>
          </a:solidFill>
        </a:ln>
      </dgm:spPr>
      <dgm:t>
        <a:bodyPr/>
        <a:lstStyle/>
        <a:p>
          <a:r>
            <a:rPr lang="es-MX" sz="800" b="1" dirty="0">
              <a:solidFill>
                <a:schemeClr val="bg1"/>
              </a:solidFill>
              <a:latin typeface="Arial" panose="020B0604020202020204" pitchFamily="34" charset="0"/>
              <a:cs typeface="Arial" panose="020B0604020202020204" pitchFamily="34" charset="0"/>
            </a:rPr>
            <a:t>Gestión Documental</a:t>
          </a:r>
        </a:p>
        <a:p>
          <a:r>
            <a:rPr lang="es-MX" sz="700" b="0" dirty="0">
              <a:solidFill>
                <a:schemeClr val="bg1"/>
              </a:solidFill>
              <a:latin typeface="Arial" panose="020B0604020202020204" pitchFamily="34" charset="0"/>
              <a:cs typeface="Arial" panose="020B0604020202020204" pitchFamily="34" charset="0"/>
            </a:rPr>
            <a:t> Contratistas: 14</a:t>
          </a:r>
          <a:endParaRPr lang="es-CO" sz="700" b="0" dirty="0">
            <a:solidFill>
              <a:schemeClr val="bg1"/>
            </a:solidFill>
            <a:latin typeface="Arial" panose="020B0604020202020204" pitchFamily="34" charset="0"/>
            <a:cs typeface="Arial" panose="020B0604020202020204" pitchFamily="34" charset="0"/>
          </a:endParaRPr>
        </a:p>
      </dgm:t>
    </dgm:pt>
    <dgm:pt modelId="{73957815-9BE1-46CE-87DB-7B6F13E98C09}">
      <dgm:prSet custT="1"/>
      <dgm:spPr>
        <a:solidFill>
          <a:schemeClr val="bg1">
            <a:lumMod val="50000"/>
          </a:schemeClr>
        </a:solidFill>
        <a:ln>
          <a:solidFill>
            <a:schemeClr val="bg1">
              <a:lumMod val="50000"/>
            </a:schemeClr>
          </a:solidFill>
        </a:ln>
      </dgm:spPr>
      <dgm:t>
        <a:bodyPr/>
        <a:lstStyle/>
        <a:p>
          <a:r>
            <a:rPr lang="es-CO" sz="800" b="1">
              <a:solidFill>
                <a:schemeClr val="bg1"/>
              </a:solidFill>
              <a:latin typeface="Arial" panose="020B0604020202020204" pitchFamily="34" charset="0"/>
              <a:cs typeface="Arial" panose="020B0604020202020204" pitchFamily="34" charset="0"/>
            </a:rPr>
            <a:t>CDI </a:t>
          </a:r>
          <a:endParaRPr lang="es-MX" sz="800" b="1" dirty="0">
            <a:solidFill>
              <a:schemeClr val="bg1"/>
            </a:solidFill>
            <a:latin typeface="Arial" panose="020B0604020202020204" pitchFamily="34" charset="0"/>
            <a:cs typeface="Arial" panose="020B0604020202020204" pitchFamily="34" charset="0"/>
          </a:endParaRPr>
        </a:p>
        <a:p>
          <a:r>
            <a:rPr lang="es-CO" sz="700" b="0" dirty="0">
              <a:solidFill>
                <a:schemeClr val="bg1"/>
              </a:solidFill>
              <a:latin typeface="Arial" panose="020B0604020202020204" pitchFamily="34" charset="0"/>
              <a:cs typeface="Arial" panose="020B0604020202020204" pitchFamily="34" charset="0"/>
            </a:rPr>
            <a:t>Planta: 1 Contratistas:19 </a:t>
          </a:r>
        </a:p>
      </dgm:t>
    </dgm:pt>
    <dgm:pt modelId="{4B60A094-78BD-4D0D-931C-CDDD573A9BD9}" type="asst">
      <dgm:prSet phldrT="[Texto]" custT="1"/>
      <dgm:spPr>
        <a:solidFill>
          <a:srgbClr val="C00000"/>
        </a:solidFill>
        <a:ln>
          <a:solidFill>
            <a:srgbClr val="C00000"/>
          </a:solidFill>
        </a:ln>
      </dgm:spPr>
      <dgm:t>
        <a:bodyPr/>
        <a:lstStyle/>
        <a:p>
          <a:r>
            <a:rPr lang="es-MX" sz="800" b="1" dirty="0">
              <a:solidFill>
                <a:schemeClr val="bg1"/>
              </a:solidFill>
              <a:latin typeface="Arial" panose="020B0604020202020204" pitchFamily="34" charset="0"/>
              <a:cs typeface="Arial" panose="020B0604020202020204" pitchFamily="34" charset="0"/>
            </a:rPr>
            <a:t>ÁREA DE GESTIÓN DEL DESARROLLO LOCAL</a:t>
          </a:r>
        </a:p>
      </dgm:t>
    </dgm:pt>
    <dgm:pt modelId="{D6611E40-E8D0-4E65-AB47-EDEFE6B49C42}" type="sibTrans" cxnId="{D1AC47DC-9517-4F07-9D18-327B238D63AC}">
      <dgm:prSet/>
      <dgm:spPr/>
      <dgm:t>
        <a:bodyPr/>
        <a:lstStyle/>
        <a:p>
          <a:endParaRPr lang="es-CO" sz="800">
            <a:latin typeface="Arial" panose="020B0604020202020204" pitchFamily="34" charset="0"/>
            <a:cs typeface="Arial" panose="020B0604020202020204" pitchFamily="34" charset="0"/>
          </a:endParaRPr>
        </a:p>
      </dgm:t>
    </dgm:pt>
    <dgm:pt modelId="{FAD4C776-C727-42FB-9540-310084E1FDCA}" type="parTrans" cxnId="{D1AC47DC-9517-4F07-9D18-327B238D63AC}">
      <dgm:prSet/>
      <dgm:spPr>
        <a:ln>
          <a:solidFill>
            <a:schemeClr val="tx1">
              <a:lumMod val="50000"/>
              <a:lumOff val="50000"/>
            </a:schemeClr>
          </a:solidFill>
        </a:ln>
      </dgm:spPr>
      <dgm:t>
        <a:bodyPr/>
        <a:lstStyle/>
        <a:p>
          <a:endParaRPr lang="es-CO" sz="800">
            <a:latin typeface="Arial" panose="020B0604020202020204" pitchFamily="34" charset="0"/>
            <a:cs typeface="Arial" panose="020B0604020202020204" pitchFamily="34" charset="0"/>
          </a:endParaRPr>
        </a:p>
      </dgm:t>
    </dgm:pt>
    <dgm:pt modelId="{0343995B-9453-42FA-AAB0-82FEC60B6EE9}" type="sibTrans" cxnId="{434BA1E5-7DB0-4BCA-9072-18DBF8149EA1}">
      <dgm:prSet/>
      <dgm:spPr/>
      <dgm:t>
        <a:bodyPr/>
        <a:lstStyle/>
        <a:p>
          <a:endParaRPr lang="es-CO" sz="800">
            <a:latin typeface="Arial" panose="020B0604020202020204" pitchFamily="34" charset="0"/>
            <a:cs typeface="Arial" panose="020B0604020202020204" pitchFamily="34" charset="0"/>
          </a:endParaRPr>
        </a:p>
      </dgm:t>
    </dgm:pt>
    <dgm:pt modelId="{DECB40BC-1418-4AEA-BD33-72710860F5A6}" type="parTrans" cxnId="{434BA1E5-7DB0-4BCA-9072-18DBF8149EA1}">
      <dgm:prSet/>
      <dgm:spPr>
        <a:ln>
          <a:solidFill>
            <a:schemeClr val="tx1">
              <a:lumMod val="50000"/>
              <a:lumOff val="50000"/>
            </a:schemeClr>
          </a:solidFill>
        </a:ln>
      </dgm:spPr>
      <dgm:t>
        <a:bodyPr/>
        <a:lstStyle/>
        <a:p>
          <a:endParaRPr lang="es-CO" sz="800">
            <a:latin typeface="Arial" panose="020B0604020202020204" pitchFamily="34" charset="0"/>
            <a:cs typeface="Arial" panose="020B0604020202020204" pitchFamily="34" charset="0"/>
          </a:endParaRPr>
        </a:p>
      </dgm:t>
    </dgm:pt>
    <dgm:pt modelId="{713D2D1E-B554-44D1-8863-7B5D0A066E18}" type="sibTrans" cxnId="{F16AF984-63C0-4178-8EF3-13D308208668}">
      <dgm:prSet/>
      <dgm:spPr/>
      <dgm:t>
        <a:bodyPr/>
        <a:lstStyle/>
        <a:p>
          <a:endParaRPr lang="es-CO" sz="800">
            <a:latin typeface="Arial" panose="020B0604020202020204" pitchFamily="34" charset="0"/>
            <a:cs typeface="Arial" panose="020B0604020202020204" pitchFamily="34" charset="0"/>
          </a:endParaRPr>
        </a:p>
      </dgm:t>
    </dgm:pt>
    <dgm:pt modelId="{665914EA-81EA-4D98-A663-CCD80BDC14D2}" type="parTrans" cxnId="{F16AF984-63C0-4178-8EF3-13D308208668}">
      <dgm:prSet/>
      <dgm:spPr>
        <a:ln>
          <a:solidFill>
            <a:schemeClr val="tx1">
              <a:lumMod val="50000"/>
              <a:lumOff val="50000"/>
            </a:schemeClr>
          </a:solidFill>
        </a:ln>
      </dgm:spPr>
      <dgm:t>
        <a:bodyPr/>
        <a:lstStyle/>
        <a:p>
          <a:endParaRPr lang="es-CO" sz="800">
            <a:latin typeface="Arial" panose="020B0604020202020204" pitchFamily="34" charset="0"/>
            <a:cs typeface="Arial" panose="020B0604020202020204" pitchFamily="34" charset="0"/>
          </a:endParaRPr>
        </a:p>
      </dgm:t>
    </dgm:pt>
    <dgm:pt modelId="{5484F057-018E-4F88-9A2D-72660ABBFF2D}" type="sibTrans" cxnId="{373D3596-AA23-4953-962A-0798319616F5}">
      <dgm:prSet/>
      <dgm:spPr/>
      <dgm:t>
        <a:bodyPr/>
        <a:lstStyle/>
        <a:p>
          <a:endParaRPr lang="es-CO" sz="800">
            <a:latin typeface="Arial" panose="020B0604020202020204" pitchFamily="34" charset="0"/>
            <a:cs typeface="Arial" panose="020B0604020202020204" pitchFamily="34" charset="0"/>
          </a:endParaRPr>
        </a:p>
      </dgm:t>
    </dgm:pt>
    <dgm:pt modelId="{0009F15B-9658-482F-BA89-A4298791A317}" type="parTrans" cxnId="{373D3596-AA23-4953-962A-0798319616F5}">
      <dgm:prSet/>
      <dgm:spPr>
        <a:ln>
          <a:solidFill>
            <a:schemeClr val="tx1">
              <a:lumMod val="50000"/>
              <a:lumOff val="50000"/>
            </a:schemeClr>
          </a:solidFill>
        </a:ln>
      </dgm:spPr>
      <dgm:t>
        <a:bodyPr/>
        <a:lstStyle/>
        <a:p>
          <a:endParaRPr lang="es-CO" sz="800">
            <a:latin typeface="Arial" panose="020B0604020202020204" pitchFamily="34" charset="0"/>
            <a:cs typeface="Arial" panose="020B0604020202020204" pitchFamily="34" charset="0"/>
          </a:endParaRPr>
        </a:p>
      </dgm:t>
    </dgm:pt>
    <dgm:pt modelId="{2C768FC1-2291-4A94-91B8-9597E5F8E80C}" type="sibTrans" cxnId="{51D20459-ECC8-4843-897E-6318BC1595B2}">
      <dgm:prSet/>
      <dgm:spPr/>
      <dgm:t>
        <a:bodyPr/>
        <a:lstStyle/>
        <a:p>
          <a:endParaRPr lang="es-CO" sz="800">
            <a:latin typeface="Arial" panose="020B0604020202020204" pitchFamily="34" charset="0"/>
            <a:cs typeface="Arial" panose="020B0604020202020204" pitchFamily="34" charset="0"/>
          </a:endParaRPr>
        </a:p>
      </dgm:t>
    </dgm:pt>
    <dgm:pt modelId="{3BE200FD-095C-4282-B73D-F857AC9AE587}" type="parTrans" cxnId="{51D20459-ECC8-4843-897E-6318BC1595B2}">
      <dgm:prSet/>
      <dgm:spPr>
        <a:ln>
          <a:solidFill>
            <a:schemeClr val="tx1">
              <a:lumMod val="50000"/>
              <a:lumOff val="50000"/>
            </a:schemeClr>
          </a:solidFill>
        </a:ln>
      </dgm:spPr>
      <dgm:t>
        <a:bodyPr/>
        <a:lstStyle/>
        <a:p>
          <a:endParaRPr lang="es-CO" sz="800">
            <a:latin typeface="Arial" panose="020B0604020202020204" pitchFamily="34" charset="0"/>
            <a:cs typeface="Arial" panose="020B0604020202020204" pitchFamily="34" charset="0"/>
          </a:endParaRPr>
        </a:p>
      </dgm:t>
    </dgm:pt>
    <dgm:pt modelId="{3EA23539-154C-4900-B7B9-4A0510A07677}">
      <dgm:prSet phldrT="[Texto]" custT="1"/>
      <dgm:spPr>
        <a:solidFill>
          <a:srgbClr val="C00000"/>
        </a:solidFill>
        <a:ln>
          <a:noFill/>
        </a:ln>
      </dgm:spPr>
      <dgm:t>
        <a:bodyPr/>
        <a:lstStyle/>
        <a:p>
          <a:r>
            <a:rPr lang="es-MX" sz="1000" b="1" dirty="0">
              <a:solidFill>
                <a:schemeClr val="bg1"/>
              </a:solidFill>
              <a:latin typeface="Arial" panose="020B0604020202020204" pitchFamily="34" charset="0"/>
              <a:cs typeface="Arial" panose="020B0604020202020204" pitchFamily="34" charset="0"/>
            </a:rPr>
            <a:t>DESPACHO</a:t>
          </a:r>
        </a:p>
        <a:p>
          <a:r>
            <a:rPr lang="es-MX" sz="700" b="0" dirty="0">
              <a:solidFill>
                <a:schemeClr val="bg1"/>
              </a:solidFill>
              <a:latin typeface="Arial" panose="020B0604020202020204" pitchFamily="34" charset="0"/>
              <a:cs typeface="Arial" panose="020B0604020202020204" pitchFamily="34" charset="0"/>
            </a:rPr>
            <a:t>Planta: 3    Contratistas: 9</a:t>
          </a:r>
          <a:endParaRPr lang="es-CO" sz="700" b="0" dirty="0">
            <a:solidFill>
              <a:schemeClr val="bg1"/>
            </a:solidFill>
            <a:latin typeface="Arial" panose="020B0604020202020204" pitchFamily="34" charset="0"/>
            <a:cs typeface="Arial" panose="020B0604020202020204" pitchFamily="34" charset="0"/>
          </a:endParaRPr>
        </a:p>
      </dgm:t>
    </dgm:pt>
    <dgm:pt modelId="{21DE4D5C-2DA3-4882-B489-C5AD1C6B3002}" type="sibTrans" cxnId="{F69398F5-C118-49E3-9F43-DD8E5FDC129C}">
      <dgm:prSet/>
      <dgm:spPr/>
      <dgm:t>
        <a:bodyPr/>
        <a:lstStyle/>
        <a:p>
          <a:endParaRPr lang="es-CO" sz="800">
            <a:latin typeface="Arial" panose="020B0604020202020204" pitchFamily="34" charset="0"/>
            <a:cs typeface="Arial" panose="020B0604020202020204" pitchFamily="34" charset="0"/>
          </a:endParaRPr>
        </a:p>
      </dgm:t>
    </dgm:pt>
    <dgm:pt modelId="{EDB50BEF-54D9-4915-9E19-74A6EDE93956}" type="parTrans" cxnId="{F69398F5-C118-49E3-9F43-DD8E5FDC129C}">
      <dgm:prSet/>
      <dgm:spPr/>
      <dgm:t>
        <a:bodyPr/>
        <a:lstStyle/>
        <a:p>
          <a:endParaRPr lang="es-CO" sz="800">
            <a:latin typeface="Arial" panose="020B0604020202020204" pitchFamily="34" charset="0"/>
            <a:cs typeface="Arial" panose="020B0604020202020204" pitchFamily="34" charset="0"/>
          </a:endParaRPr>
        </a:p>
      </dgm:t>
    </dgm:pt>
    <dgm:pt modelId="{EC8575B9-032B-4DEC-BC32-8DF2DD93A440}" type="sibTrans" cxnId="{468582F1-C78D-473C-B3E6-3C2F53922699}">
      <dgm:prSet/>
      <dgm:spPr/>
      <dgm:t>
        <a:bodyPr/>
        <a:lstStyle/>
        <a:p>
          <a:endParaRPr lang="es-CO" sz="800">
            <a:latin typeface="Arial" panose="020B0604020202020204" pitchFamily="34" charset="0"/>
            <a:cs typeface="Arial" panose="020B0604020202020204" pitchFamily="34" charset="0"/>
          </a:endParaRPr>
        </a:p>
      </dgm:t>
    </dgm:pt>
    <dgm:pt modelId="{95F3F4D8-43B5-4C2A-AFDE-FF92FB40B3D8}" type="parTrans" cxnId="{468582F1-C78D-473C-B3E6-3C2F53922699}">
      <dgm:prSet/>
      <dgm:spPr>
        <a:ln>
          <a:solidFill>
            <a:schemeClr val="tx1">
              <a:lumMod val="50000"/>
              <a:lumOff val="50000"/>
            </a:schemeClr>
          </a:solidFill>
        </a:ln>
      </dgm:spPr>
      <dgm:t>
        <a:bodyPr/>
        <a:lstStyle/>
        <a:p>
          <a:endParaRPr lang="es-CO" sz="800">
            <a:solidFill>
              <a:schemeClr val="tx1">
                <a:lumMod val="50000"/>
                <a:lumOff val="50000"/>
              </a:schemeClr>
            </a:solidFill>
            <a:latin typeface="Arial" panose="020B0604020202020204" pitchFamily="34" charset="0"/>
            <a:cs typeface="Arial" panose="020B0604020202020204" pitchFamily="34" charset="0"/>
          </a:endParaRPr>
        </a:p>
      </dgm:t>
    </dgm:pt>
    <dgm:pt modelId="{9D541AF1-00EB-46CF-A995-7AAB14241C03}">
      <dgm:prSet custT="1"/>
      <dgm:spPr>
        <a:solidFill>
          <a:schemeClr val="bg1">
            <a:lumMod val="50000"/>
          </a:schemeClr>
        </a:solidFill>
        <a:ln>
          <a:solidFill>
            <a:schemeClr val="bg1">
              <a:lumMod val="50000"/>
            </a:schemeClr>
          </a:solidFill>
        </a:ln>
      </dgm:spPr>
      <dgm:t>
        <a:bodyPr/>
        <a:lstStyle/>
        <a:p>
          <a:r>
            <a:rPr lang="es-CO" sz="800" b="1" dirty="0">
              <a:solidFill>
                <a:schemeClr val="bg1"/>
              </a:solidFill>
              <a:latin typeface="Arial" panose="020B0604020202020204" pitchFamily="34" charset="0"/>
              <a:cs typeface="Arial" panose="020B0604020202020204" pitchFamily="34" charset="0"/>
            </a:rPr>
            <a:t>Gestión Ambiental </a:t>
          </a:r>
        </a:p>
        <a:p>
          <a:r>
            <a:rPr lang="es-CO" sz="700" b="0" dirty="0">
              <a:solidFill>
                <a:schemeClr val="bg1"/>
              </a:solidFill>
              <a:latin typeface="Arial" panose="020B0604020202020204" pitchFamily="34" charset="0"/>
              <a:cs typeface="Arial" panose="020B0604020202020204" pitchFamily="34" charset="0"/>
            </a:rPr>
            <a:t>Contratistas: 3</a:t>
          </a:r>
        </a:p>
      </dgm:t>
    </dgm:pt>
    <dgm:pt modelId="{0C326CF7-4FBF-441C-97F0-B449BC362161}" type="parTrans" cxnId="{09C84777-D7D6-44CE-8166-F23114764BA4}">
      <dgm:prSet/>
      <dgm:spPr>
        <a:ln>
          <a:solidFill>
            <a:schemeClr val="tx1">
              <a:lumMod val="50000"/>
              <a:lumOff val="50000"/>
            </a:schemeClr>
          </a:solidFill>
        </a:ln>
      </dgm:spPr>
      <dgm:t>
        <a:bodyPr/>
        <a:lstStyle/>
        <a:p>
          <a:endParaRPr lang="es-CO" sz="800">
            <a:latin typeface="Arial" panose="020B0604020202020204" pitchFamily="34" charset="0"/>
            <a:cs typeface="Arial" panose="020B0604020202020204" pitchFamily="34" charset="0"/>
          </a:endParaRPr>
        </a:p>
      </dgm:t>
    </dgm:pt>
    <dgm:pt modelId="{3F7AE1EF-5CAE-4D21-B3A1-63E87046E48B}" type="sibTrans" cxnId="{09C84777-D7D6-44CE-8166-F23114764BA4}">
      <dgm:prSet/>
      <dgm:spPr/>
      <dgm:t>
        <a:bodyPr/>
        <a:lstStyle/>
        <a:p>
          <a:endParaRPr lang="es-CO" sz="800">
            <a:latin typeface="Arial" panose="020B0604020202020204" pitchFamily="34" charset="0"/>
            <a:cs typeface="Arial" panose="020B0604020202020204" pitchFamily="34" charset="0"/>
          </a:endParaRPr>
        </a:p>
      </dgm:t>
    </dgm:pt>
    <dgm:pt modelId="{A980E375-660B-422A-AB0D-1EC86C08CD20}" type="asst">
      <dgm:prSet phldrT="[Texto]" custT="1"/>
      <dgm:spPr>
        <a:solidFill>
          <a:schemeClr val="bg1">
            <a:lumMod val="50000"/>
          </a:schemeClr>
        </a:solidFill>
        <a:ln>
          <a:solidFill>
            <a:schemeClr val="bg1">
              <a:lumMod val="50000"/>
            </a:schemeClr>
          </a:solidFill>
        </a:ln>
      </dgm:spPr>
      <dgm:t>
        <a:bodyPr/>
        <a:lstStyle/>
        <a:p>
          <a:r>
            <a:rPr lang="es-CO" sz="800" b="1" dirty="0">
              <a:solidFill>
                <a:schemeClr val="bg1"/>
              </a:solidFill>
              <a:latin typeface="Arial" panose="020B0604020202020204" pitchFamily="34" charset="0"/>
              <a:cs typeface="Arial" panose="020B0604020202020204" pitchFamily="34" charset="0"/>
            </a:rPr>
            <a:t>COMUNICACIONES</a:t>
          </a:r>
        </a:p>
        <a:p>
          <a:r>
            <a:rPr lang="es-CO" sz="700" b="0" dirty="0">
              <a:solidFill>
                <a:schemeClr val="bg1"/>
              </a:solidFill>
              <a:latin typeface="Arial" panose="020B0604020202020204" pitchFamily="34" charset="0"/>
              <a:cs typeface="Arial" panose="020B0604020202020204" pitchFamily="34" charset="0"/>
            </a:rPr>
            <a:t>Contratistas: 3</a:t>
          </a:r>
        </a:p>
      </dgm:t>
    </dgm:pt>
    <dgm:pt modelId="{10F49B74-26AD-4922-83DA-DB636FCE88D5}" type="parTrans" cxnId="{700B870C-A224-4E02-A8D0-29A05BB6783C}">
      <dgm:prSet/>
      <dgm:spPr>
        <a:ln>
          <a:solidFill>
            <a:schemeClr val="tx1">
              <a:lumMod val="50000"/>
              <a:lumOff val="50000"/>
            </a:schemeClr>
          </a:solidFill>
        </a:ln>
      </dgm:spPr>
      <dgm:t>
        <a:bodyPr/>
        <a:lstStyle/>
        <a:p>
          <a:endParaRPr lang="es-CO" sz="800">
            <a:latin typeface="Arial" panose="020B0604020202020204" pitchFamily="34" charset="0"/>
            <a:cs typeface="Arial" panose="020B0604020202020204" pitchFamily="34" charset="0"/>
          </a:endParaRPr>
        </a:p>
      </dgm:t>
    </dgm:pt>
    <dgm:pt modelId="{DB53F209-E329-4114-8D3D-FABA742580A2}" type="sibTrans" cxnId="{700B870C-A224-4E02-A8D0-29A05BB6783C}">
      <dgm:prSet/>
      <dgm:spPr/>
      <dgm:t>
        <a:bodyPr/>
        <a:lstStyle/>
        <a:p>
          <a:endParaRPr lang="es-CO" sz="800">
            <a:latin typeface="Arial" panose="020B0604020202020204" pitchFamily="34" charset="0"/>
            <a:cs typeface="Arial" panose="020B0604020202020204" pitchFamily="34" charset="0"/>
          </a:endParaRPr>
        </a:p>
      </dgm:t>
    </dgm:pt>
    <dgm:pt modelId="{8F92A442-AD51-453D-A7EE-1EBC6E13B3BF}" type="asst">
      <dgm:prSet custT="1"/>
      <dgm:spPr>
        <a:solidFill>
          <a:schemeClr val="bg1">
            <a:lumMod val="50000"/>
          </a:schemeClr>
        </a:solidFill>
        <a:ln>
          <a:solidFill>
            <a:schemeClr val="bg1">
              <a:lumMod val="50000"/>
            </a:schemeClr>
          </a:solidFill>
        </a:ln>
      </dgm:spPr>
      <dgm:t>
        <a:bodyPr/>
        <a:lstStyle/>
        <a:p>
          <a:r>
            <a:rPr lang="es-ES" sz="800" b="1">
              <a:solidFill>
                <a:schemeClr val="bg1"/>
              </a:solidFill>
              <a:latin typeface="Arial" panose="020B0604020202020204" pitchFamily="34" charset="0"/>
              <a:cs typeface="Arial" panose="020B0604020202020204" pitchFamily="34" charset="0"/>
            </a:rPr>
            <a:t>Sistemas</a:t>
          </a:r>
        </a:p>
        <a:p>
          <a:r>
            <a:rPr lang="es-ES" sz="700" b="0">
              <a:solidFill>
                <a:schemeClr val="bg1"/>
              </a:solidFill>
              <a:latin typeface="Arial" panose="020B0604020202020204" pitchFamily="34" charset="0"/>
              <a:cs typeface="Arial" panose="020B0604020202020204" pitchFamily="34" charset="0"/>
            </a:rPr>
            <a:t>Contratistas: 1</a:t>
          </a:r>
        </a:p>
      </dgm:t>
    </dgm:pt>
    <dgm:pt modelId="{2310D1FB-A4C7-4CC5-8169-1AAF71162BD2}" type="parTrans" cxnId="{F1E797A0-8559-486A-AA02-2B7AACD7E31B}">
      <dgm:prSet/>
      <dgm:spPr>
        <a:ln>
          <a:solidFill>
            <a:schemeClr val="tx1">
              <a:lumMod val="50000"/>
              <a:lumOff val="50000"/>
            </a:schemeClr>
          </a:solidFill>
        </a:ln>
      </dgm:spPr>
      <dgm:t>
        <a:bodyPr/>
        <a:lstStyle/>
        <a:p>
          <a:endParaRPr lang="es-ES" sz="800">
            <a:latin typeface="Arial" panose="020B0604020202020204" pitchFamily="34" charset="0"/>
            <a:cs typeface="Arial" panose="020B0604020202020204" pitchFamily="34" charset="0"/>
          </a:endParaRPr>
        </a:p>
      </dgm:t>
    </dgm:pt>
    <dgm:pt modelId="{3ED1A8C2-B71B-4277-9536-E63AADA50F37}" type="sibTrans" cxnId="{F1E797A0-8559-486A-AA02-2B7AACD7E31B}">
      <dgm:prSet/>
      <dgm:spPr/>
      <dgm:t>
        <a:bodyPr/>
        <a:lstStyle/>
        <a:p>
          <a:endParaRPr lang="es-ES" sz="800">
            <a:latin typeface="Arial" panose="020B0604020202020204" pitchFamily="34" charset="0"/>
            <a:cs typeface="Arial" panose="020B0604020202020204" pitchFamily="34" charset="0"/>
          </a:endParaRPr>
        </a:p>
      </dgm:t>
    </dgm:pt>
    <dgm:pt modelId="{BAE2F5C0-6A9E-4D7E-925A-60F392B6CA3E}" type="asst">
      <dgm:prSet custT="1"/>
      <dgm:spPr>
        <a:solidFill>
          <a:schemeClr val="bg1">
            <a:lumMod val="50000"/>
          </a:schemeClr>
        </a:solidFill>
        <a:ln>
          <a:solidFill>
            <a:schemeClr val="bg1">
              <a:lumMod val="50000"/>
            </a:schemeClr>
          </a:solidFill>
        </a:ln>
      </dgm:spPr>
      <dgm:t>
        <a:bodyPr/>
        <a:lstStyle/>
        <a:p>
          <a:r>
            <a:rPr lang="es-ES" sz="800" b="1">
              <a:solidFill>
                <a:schemeClr val="bg1"/>
              </a:solidFill>
              <a:latin typeface="Arial" panose="020B0604020202020204" pitchFamily="34" charset="0"/>
              <a:cs typeface="Arial" panose="020B0604020202020204" pitchFamily="34" charset="0"/>
            </a:rPr>
            <a:t>Calidad</a:t>
          </a:r>
        </a:p>
        <a:p>
          <a:r>
            <a:rPr lang="es-ES" sz="700" b="0">
              <a:solidFill>
                <a:schemeClr val="bg1"/>
              </a:solidFill>
              <a:latin typeface="Arial" panose="020B0604020202020204" pitchFamily="34" charset="0"/>
              <a:cs typeface="Arial" panose="020B0604020202020204" pitchFamily="34" charset="0"/>
            </a:rPr>
            <a:t>Planta: 1 </a:t>
          </a:r>
        </a:p>
      </dgm:t>
    </dgm:pt>
    <dgm:pt modelId="{A5AEF8AA-29E3-40DC-85B4-051F3D0B3F1C}" type="parTrans" cxnId="{08EF23FA-BE25-433C-B278-883640F95B15}">
      <dgm:prSet/>
      <dgm:spPr>
        <a:ln>
          <a:solidFill>
            <a:schemeClr val="tx1">
              <a:lumMod val="50000"/>
              <a:lumOff val="50000"/>
            </a:schemeClr>
          </a:solidFill>
        </a:ln>
      </dgm:spPr>
      <dgm:t>
        <a:bodyPr/>
        <a:lstStyle/>
        <a:p>
          <a:endParaRPr lang="es-ES" sz="800">
            <a:latin typeface="Arial" panose="020B0604020202020204" pitchFamily="34" charset="0"/>
            <a:cs typeface="Arial" panose="020B0604020202020204" pitchFamily="34" charset="0"/>
          </a:endParaRPr>
        </a:p>
      </dgm:t>
    </dgm:pt>
    <dgm:pt modelId="{761CEB4B-0FC3-4E14-B82F-C9CC406594E1}" type="sibTrans" cxnId="{08EF23FA-BE25-433C-B278-883640F95B15}">
      <dgm:prSet/>
      <dgm:spPr/>
      <dgm:t>
        <a:bodyPr/>
        <a:lstStyle/>
        <a:p>
          <a:endParaRPr lang="es-ES" sz="800">
            <a:latin typeface="Arial" panose="020B0604020202020204" pitchFamily="34" charset="0"/>
            <a:cs typeface="Arial" panose="020B0604020202020204" pitchFamily="34" charset="0"/>
          </a:endParaRPr>
        </a:p>
      </dgm:t>
    </dgm:pt>
    <dgm:pt modelId="{36F39614-500A-493F-BA15-32C408968974}">
      <dgm:prSet custT="1"/>
      <dgm:spPr>
        <a:solidFill>
          <a:schemeClr val="bg1">
            <a:lumMod val="50000"/>
          </a:schemeClr>
        </a:solidFill>
        <a:ln>
          <a:solidFill>
            <a:schemeClr val="bg1">
              <a:lumMod val="50000"/>
            </a:schemeClr>
          </a:solidFill>
        </a:ln>
      </dgm:spPr>
      <dgm:t>
        <a:bodyPr/>
        <a:lstStyle/>
        <a:p>
          <a:r>
            <a:rPr lang="es-CO" sz="800" b="1" dirty="0">
              <a:solidFill>
                <a:schemeClr val="bg1"/>
              </a:solidFill>
              <a:latin typeface="Arial" panose="020B0604020202020204" pitchFamily="34" charset="0"/>
              <a:cs typeface="Arial" panose="020B0604020202020204" pitchFamily="34" charset="0"/>
            </a:rPr>
            <a:t>Atención a la Ciudadanía</a:t>
          </a:r>
        </a:p>
        <a:p>
          <a:r>
            <a:rPr lang="es-CO" sz="700" b="0" dirty="0">
              <a:solidFill>
                <a:schemeClr val="bg1"/>
              </a:solidFill>
              <a:latin typeface="Arial" panose="020B0604020202020204" pitchFamily="34" charset="0"/>
              <a:cs typeface="Arial" panose="020B0604020202020204" pitchFamily="34" charset="0"/>
            </a:rPr>
            <a:t>Planta: 1  Contratistas: </a:t>
          </a:r>
        </a:p>
      </dgm:t>
    </dgm:pt>
    <dgm:pt modelId="{F2026D47-E0A7-437F-9056-C9F1875F4EF0}" type="sibTrans" cxnId="{A38671B4-DC40-48D3-94BC-42899DBCD88E}">
      <dgm:prSet/>
      <dgm:spPr/>
      <dgm:t>
        <a:bodyPr/>
        <a:lstStyle/>
        <a:p>
          <a:endParaRPr lang="es-CO" sz="800">
            <a:latin typeface="Arial" panose="020B0604020202020204" pitchFamily="34" charset="0"/>
            <a:cs typeface="Arial" panose="020B0604020202020204" pitchFamily="34" charset="0"/>
          </a:endParaRPr>
        </a:p>
      </dgm:t>
    </dgm:pt>
    <dgm:pt modelId="{C5AD4FF4-9A7A-48C7-B596-B903F8BC2996}" type="parTrans" cxnId="{A38671B4-DC40-48D3-94BC-42899DBCD88E}">
      <dgm:prSet/>
      <dgm:spPr>
        <a:ln>
          <a:solidFill>
            <a:schemeClr val="tx1">
              <a:lumMod val="50000"/>
              <a:lumOff val="50000"/>
            </a:schemeClr>
          </a:solidFill>
        </a:ln>
      </dgm:spPr>
      <dgm:t>
        <a:bodyPr/>
        <a:lstStyle/>
        <a:p>
          <a:endParaRPr lang="es-CO" sz="800">
            <a:latin typeface="Arial" panose="020B0604020202020204" pitchFamily="34" charset="0"/>
            <a:cs typeface="Arial" panose="020B0604020202020204" pitchFamily="34" charset="0"/>
          </a:endParaRPr>
        </a:p>
      </dgm:t>
    </dgm:pt>
    <dgm:pt modelId="{A3D201F0-50CE-4720-A189-2E359ABC8DF5}" type="asst">
      <dgm:prSet custT="1"/>
      <dgm:spPr>
        <a:solidFill>
          <a:schemeClr val="bg1">
            <a:lumMod val="50000"/>
          </a:schemeClr>
        </a:solidFill>
        <a:ln>
          <a:solidFill>
            <a:schemeClr val="bg1">
              <a:lumMod val="50000"/>
            </a:schemeClr>
          </a:solidFill>
        </a:ln>
      </dgm:spPr>
      <dgm:t>
        <a:bodyPr/>
        <a:lstStyle/>
        <a:p>
          <a:r>
            <a:rPr lang="es-ES" sz="800" b="1">
              <a:solidFill>
                <a:schemeClr val="bg1"/>
              </a:solidFill>
              <a:latin typeface="Arial" panose="020B0604020202020204" pitchFamily="34" charset="0"/>
              <a:cs typeface="Arial" panose="020B0604020202020204" pitchFamily="34" charset="0"/>
            </a:rPr>
            <a:t>Contratación</a:t>
          </a:r>
        </a:p>
        <a:p>
          <a:r>
            <a:rPr lang="es-MX" sz="700" b="0" dirty="0">
              <a:solidFill>
                <a:schemeClr val="bg1"/>
              </a:solidFill>
              <a:latin typeface="Arial" panose="020B0604020202020204" pitchFamily="34" charset="0"/>
              <a:cs typeface="Arial" panose="020B0604020202020204" pitchFamily="34" charset="0"/>
            </a:rPr>
            <a:t>Planta: 2  Contratista: 1</a:t>
          </a:r>
          <a:endParaRPr lang="es-ES" sz="700" b="0">
            <a:solidFill>
              <a:schemeClr val="bg1"/>
            </a:solidFill>
            <a:latin typeface="Arial" panose="020B0604020202020204" pitchFamily="34" charset="0"/>
            <a:cs typeface="Arial" panose="020B0604020202020204" pitchFamily="34" charset="0"/>
          </a:endParaRPr>
        </a:p>
      </dgm:t>
    </dgm:pt>
    <dgm:pt modelId="{899883B1-4600-45F6-87DA-D2B95565823E}" type="parTrans" cxnId="{1F751BBE-44BF-43AC-9A4F-79D5936BF02F}">
      <dgm:prSet/>
      <dgm:spPr>
        <a:ln>
          <a:solidFill>
            <a:schemeClr val="tx1">
              <a:lumMod val="50000"/>
              <a:lumOff val="50000"/>
            </a:schemeClr>
          </a:solidFill>
        </a:ln>
      </dgm:spPr>
      <dgm:t>
        <a:bodyPr/>
        <a:lstStyle/>
        <a:p>
          <a:endParaRPr lang="es-ES" sz="800">
            <a:latin typeface="Arial" panose="020B0604020202020204" pitchFamily="34" charset="0"/>
            <a:cs typeface="Arial" panose="020B0604020202020204" pitchFamily="34" charset="0"/>
          </a:endParaRPr>
        </a:p>
      </dgm:t>
    </dgm:pt>
    <dgm:pt modelId="{2CF350B9-8819-4EFD-9D0D-E6BBFF1D7581}" type="sibTrans" cxnId="{1F751BBE-44BF-43AC-9A4F-79D5936BF02F}">
      <dgm:prSet/>
      <dgm:spPr/>
      <dgm:t>
        <a:bodyPr/>
        <a:lstStyle/>
        <a:p>
          <a:endParaRPr lang="es-ES" sz="800">
            <a:latin typeface="Arial" panose="020B0604020202020204" pitchFamily="34" charset="0"/>
            <a:cs typeface="Arial" panose="020B0604020202020204" pitchFamily="34" charset="0"/>
          </a:endParaRPr>
        </a:p>
      </dgm:t>
    </dgm:pt>
    <dgm:pt modelId="{447D9230-1A51-41EC-9D28-552D77E00D74}">
      <dgm:prSet custT="1"/>
      <dgm:spPr>
        <a:solidFill>
          <a:schemeClr val="bg1">
            <a:lumMod val="50000"/>
          </a:schemeClr>
        </a:solidFill>
        <a:ln>
          <a:solidFill>
            <a:schemeClr val="bg1">
              <a:lumMod val="50000"/>
            </a:schemeClr>
          </a:solidFill>
        </a:ln>
      </dgm:spPr>
      <dgm:t>
        <a:bodyPr/>
        <a:lstStyle/>
        <a:p>
          <a:r>
            <a:rPr lang="es-ES" sz="800" b="1">
              <a:solidFill>
                <a:schemeClr val="bg1"/>
              </a:solidFill>
              <a:latin typeface="Arial" panose="020B0604020202020204" pitchFamily="34" charset="0"/>
              <a:cs typeface="Arial" panose="020B0604020202020204" pitchFamily="34" charset="0"/>
            </a:rPr>
            <a:t>Inspección de Policía</a:t>
          </a:r>
        </a:p>
        <a:p>
          <a:br>
            <a:rPr lang="es-ES" sz="600" b="1">
              <a:solidFill>
                <a:schemeClr val="bg1"/>
              </a:solidFill>
              <a:latin typeface="Arial" panose="020B0604020202020204" pitchFamily="34" charset="0"/>
              <a:cs typeface="Arial" panose="020B0604020202020204" pitchFamily="34" charset="0"/>
            </a:rPr>
          </a:br>
          <a:r>
            <a:rPr lang="es-ES" sz="600" b="1">
              <a:solidFill>
                <a:schemeClr val="bg1"/>
              </a:solidFill>
              <a:latin typeface="Arial" panose="020B0604020202020204" pitchFamily="34" charset="0"/>
              <a:cs typeface="Arial" panose="020B0604020202020204" pitchFamily="34" charset="0"/>
            </a:rPr>
            <a:t>Planta: 3  Contratistas: </a:t>
          </a:r>
        </a:p>
      </dgm:t>
    </dgm:pt>
    <dgm:pt modelId="{0C1D104F-D382-4E2D-8853-101D4AFFDEC1}" type="parTrans" cxnId="{2E5AF735-E91C-4385-91E2-E55CAA5F97F4}">
      <dgm:prSet/>
      <dgm:spPr>
        <a:ln>
          <a:solidFill>
            <a:schemeClr val="tx1">
              <a:lumMod val="50000"/>
              <a:lumOff val="50000"/>
            </a:schemeClr>
          </a:solidFill>
        </a:ln>
      </dgm:spPr>
      <dgm:t>
        <a:bodyPr/>
        <a:lstStyle/>
        <a:p>
          <a:endParaRPr lang="es-ES" sz="800">
            <a:latin typeface="Arial" panose="020B0604020202020204" pitchFamily="34" charset="0"/>
            <a:cs typeface="Arial" panose="020B0604020202020204" pitchFamily="34" charset="0"/>
          </a:endParaRPr>
        </a:p>
      </dgm:t>
    </dgm:pt>
    <dgm:pt modelId="{DB8F7FE8-6F6B-4C01-8B23-002E4C95823F}" type="sibTrans" cxnId="{2E5AF735-E91C-4385-91E2-E55CAA5F97F4}">
      <dgm:prSet/>
      <dgm:spPr/>
      <dgm:t>
        <a:bodyPr/>
        <a:lstStyle/>
        <a:p>
          <a:endParaRPr lang="es-ES" sz="800">
            <a:latin typeface="Arial" panose="020B0604020202020204" pitchFamily="34" charset="0"/>
            <a:cs typeface="Arial" panose="020B0604020202020204" pitchFamily="34" charset="0"/>
          </a:endParaRPr>
        </a:p>
      </dgm:t>
    </dgm:pt>
    <dgm:pt modelId="{147FF7BE-8D45-410E-8147-B7B27799BE14}" type="asst">
      <dgm:prSet custT="1"/>
      <dgm:spPr>
        <a:solidFill>
          <a:schemeClr val="bg1">
            <a:lumMod val="50000"/>
          </a:schemeClr>
        </a:solidFill>
        <a:ln>
          <a:solidFill>
            <a:schemeClr val="bg1">
              <a:lumMod val="50000"/>
            </a:schemeClr>
          </a:solidFill>
        </a:ln>
      </dgm:spPr>
      <dgm:t>
        <a:bodyPr/>
        <a:lstStyle/>
        <a:p>
          <a:r>
            <a:rPr lang="es-ES" sz="900" b="1">
              <a:solidFill>
                <a:schemeClr val="bg1"/>
              </a:solidFill>
            </a:rPr>
            <a:t>Jurídica</a:t>
          </a:r>
        </a:p>
        <a:p>
          <a:r>
            <a:rPr lang="es-ES" sz="700" b="0">
              <a:solidFill>
                <a:schemeClr val="bg1"/>
              </a:solidFill>
            </a:rPr>
            <a:t>Planta: 2  Contratistas:</a:t>
          </a:r>
        </a:p>
      </dgm:t>
    </dgm:pt>
    <dgm:pt modelId="{BDD813A8-3A37-4AEA-8CDD-D6876B5AF14A}" type="parTrans" cxnId="{C14FE575-DA82-49DA-B74A-8C33C1FE778F}">
      <dgm:prSet/>
      <dgm:spPr>
        <a:ln>
          <a:solidFill>
            <a:schemeClr val="bg1">
              <a:lumMod val="50000"/>
            </a:schemeClr>
          </a:solidFill>
        </a:ln>
      </dgm:spPr>
      <dgm:t>
        <a:bodyPr/>
        <a:lstStyle/>
        <a:p>
          <a:endParaRPr lang="es-ES"/>
        </a:p>
      </dgm:t>
    </dgm:pt>
    <dgm:pt modelId="{B207F8E3-882B-438D-AC43-0B0B791927E4}" type="sibTrans" cxnId="{C14FE575-DA82-49DA-B74A-8C33C1FE778F}">
      <dgm:prSet/>
      <dgm:spPr/>
      <dgm:t>
        <a:bodyPr/>
        <a:lstStyle/>
        <a:p>
          <a:endParaRPr lang="es-ES"/>
        </a:p>
      </dgm:t>
    </dgm:pt>
    <dgm:pt modelId="{73EB8A71-63C9-4A2A-A06B-79743F549EAD}" type="pres">
      <dgm:prSet presAssocID="{616CB7DD-C4C1-40A2-87CB-4B09DD0663AD}" presName="hierChild1" presStyleCnt="0">
        <dgm:presLayoutVars>
          <dgm:orgChart val="1"/>
          <dgm:chPref val="1"/>
          <dgm:dir/>
          <dgm:animOne val="branch"/>
          <dgm:animLvl val="lvl"/>
          <dgm:resizeHandles/>
        </dgm:presLayoutVars>
      </dgm:prSet>
      <dgm:spPr/>
    </dgm:pt>
    <dgm:pt modelId="{58156449-CF37-4384-B614-773E6CE75C9B}" type="pres">
      <dgm:prSet presAssocID="{3EA23539-154C-4900-B7B9-4A0510A07677}" presName="hierRoot1" presStyleCnt="0">
        <dgm:presLayoutVars>
          <dgm:hierBranch val="init"/>
        </dgm:presLayoutVars>
      </dgm:prSet>
      <dgm:spPr/>
    </dgm:pt>
    <dgm:pt modelId="{D1D65025-FE06-41F8-9D8E-83DE7AE2EFE1}" type="pres">
      <dgm:prSet presAssocID="{3EA23539-154C-4900-B7B9-4A0510A07677}" presName="rootComposite1" presStyleCnt="0"/>
      <dgm:spPr/>
    </dgm:pt>
    <dgm:pt modelId="{408D7C7C-6B14-474F-B22E-80A58EBAAEE4}" type="pres">
      <dgm:prSet presAssocID="{3EA23539-154C-4900-B7B9-4A0510A07677}" presName="rootText1" presStyleLbl="node0" presStyleIdx="0" presStyleCnt="1" custScaleX="408384" custScaleY="241784" custLinFactX="-1312" custLinFactY="-224844" custLinFactNeighborX="-100000" custLinFactNeighborY="-300000">
        <dgm:presLayoutVars>
          <dgm:chPref val="3"/>
        </dgm:presLayoutVars>
      </dgm:prSet>
      <dgm:spPr/>
    </dgm:pt>
    <dgm:pt modelId="{BBA3030C-4E1F-44FC-8558-066E05AECD10}" type="pres">
      <dgm:prSet presAssocID="{3EA23539-154C-4900-B7B9-4A0510A07677}" presName="rootConnector1" presStyleLbl="node1" presStyleIdx="0" presStyleCnt="0"/>
      <dgm:spPr/>
    </dgm:pt>
    <dgm:pt modelId="{15336514-4E1A-4CCF-89C8-8FC3E5B79771}" type="pres">
      <dgm:prSet presAssocID="{3EA23539-154C-4900-B7B9-4A0510A07677}" presName="hierChild2" presStyleCnt="0"/>
      <dgm:spPr/>
    </dgm:pt>
    <dgm:pt modelId="{B0FF844C-19DA-456A-9D03-ACF134DA003A}" type="pres">
      <dgm:prSet presAssocID="{3EA23539-154C-4900-B7B9-4A0510A07677}" presName="hierChild3" presStyleCnt="0"/>
      <dgm:spPr/>
    </dgm:pt>
    <dgm:pt modelId="{853AB3C8-4E0B-4866-8FA0-EAE845889444}" type="pres">
      <dgm:prSet presAssocID="{95F3F4D8-43B5-4C2A-AFDE-FF92FB40B3D8}" presName="Name111" presStyleLbl="parChTrans1D2" presStyleIdx="0" presStyleCnt="3"/>
      <dgm:spPr/>
    </dgm:pt>
    <dgm:pt modelId="{15575EA1-0C35-45CA-BC15-DED7794D2355}" type="pres">
      <dgm:prSet presAssocID="{4B60A094-78BD-4D0D-931C-CDDD573A9BD9}" presName="hierRoot3" presStyleCnt="0">
        <dgm:presLayoutVars>
          <dgm:hierBranch val="init"/>
        </dgm:presLayoutVars>
      </dgm:prSet>
      <dgm:spPr/>
    </dgm:pt>
    <dgm:pt modelId="{20E22667-316D-4FE4-B131-5C90CC5FD51A}" type="pres">
      <dgm:prSet presAssocID="{4B60A094-78BD-4D0D-931C-CDDD573A9BD9}" presName="rootComposite3" presStyleCnt="0"/>
      <dgm:spPr/>
    </dgm:pt>
    <dgm:pt modelId="{F127BCE6-3AF0-4186-9A8D-8FD9957D6E70}" type="pres">
      <dgm:prSet presAssocID="{4B60A094-78BD-4D0D-931C-CDDD573A9BD9}" presName="rootText3" presStyleLbl="asst1" presStyleIdx="0" presStyleCnt="7" custScaleX="403327" custScaleY="263201" custLinFactNeighborX="-83385" custLinFactNeighborY="75">
        <dgm:presLayoutVars>
          <dgm:chPref val="3"/>
        </dgm:presLayoutVars>
      </dgm:prSet>
      <dgm:spPr/>
    </dgm:pt>
    <dgm:pt modelId="{17FC4A97-6544-4860-B4FE-FA8052140FD4}" type="pres">
      <dgm:prSet presAssocID="{4B60A094-78BD-4D0D-931C-CDDD573A9BD9}" presName="rootConnector3" presStyleLbl="asst1" presStyleIdx="0" presStyleCnt="7"/>
      <dgm:spPr/>
    </dgm:pt>
    <dgm:pt modelId="{AFD4FF0C-2F1D-44F7-B00C-C627119D4278}" type="pres">
      <dgm:prSet presAssocID="{4B60A094-78BD-4D0D-931C-CDDD573A9BD9}" presName="hierChild6" presStyleCnt="0"/>
      <dgm:spPr/>
    </dgm:pt>
    <dgm:pt modelId="{98CA9032-9428-4E3C-850D-DBE15A538741}" type="pres">
      <dgm:prSet presAssocID="{3BE200FD-095C-4282-B73D-F857AC9AE587}" presName="Name37" presStyleLbl="parChTrans1D3" presStyleIdx="0" presStyleCnt="12"/>
      <dgm:spPr/>
    </dgm:pt>
    <dgm:pt modelId="{C38140CC-A9AF-48BE-AB7C-3BC71E3BED5B}" type="pres">
      <dgm:prSet presAssocID="{73957815-9BE1-46CE-87DB-7B6F13E98C09}" presName="hierRoot2" presStyleCnt="0">
        <dgm:presLayoutVars>
          <dgm:hierBranch val="init"/>
        </dgm:presLayoutVars>
      </dgm:prSet>
      <dgm:spPr/>
    </dgm:pt>
    <dgm:pt modelId="{35EC25F9-4BD3-4F72-8A37-E44F11716F9C}" type="pres">
      <dgm:prSet presAssocID="{73957815-9BE1-46CE-87DB-7B6F13E98C09}" presName="rootComposite" presStyleCnt="0"/>
      <dgm:spPr/>
    </dgm:pt>
    <dgm:pt modelId="{EED62A41-64B0-4DA8-9951-8092790F40BF}" type="pres">
      <dgm:prSet presAssocID="{73957815-9BE1-46CE-87DB-7B6F13E98C09}" presName="rootText" presStyleLbl="node3" presStyleIdx="0" presStyleCnt="8" custScaleX="386822" custScaleY="147974" custLinFactY="299991" custLinFactNeighborX="-96768" custLinFactNeighborY="300000">
        <dgm:presLayoutVars>
          <dgm:chPref val="3"/>
        </dgm:presLayoutVars>
      </dgm:prSet>
      <dgm:spPr/>
    </dgm:pt>
    <dgm:pt modelId="{07201FDF-B98F-4EB5-97A4-8045C95B0D85}" type="pres">
      <dgm:prSet presAssocID="{73957815-9BE1-46CE-87DB-7B6F13E98C09}" presName="rootConnector" presStyleLbl="node3" presStyleIdx="0" presStyleCnt="8"/>
      <dgm:spPr/>
    </dgm:pt>
    <dgm:pt modelId="{919D691B-581A-4291-B1E6-8C94480E6862}" type="pres">
      <dgm:prSet presAssocID="{73957815-9BE1-46CE-87DB-7B6F13E98C09}" presName="hierChild4" presStyleCnt="0"/>
      <dgm:spPr/>
    </dgm:pt>
    <dgm:pt modelId="{AC93A0D5-B948-4000-BD9B-B0E60743F9BC}" type="pres">
      <dgm:prSet presAssocID="{73957815-9BE1-46CE-87DB-7B6F13E98C09}" presName="hierChild5" presStyleCnt="0"/>
      <dgm:spPr/>
    </dgm:pt>
    <dgm:pt modelId="{FC347AC4-075A-4201-943B-FEC7E761782D}" type="pres">
      <dgm:prSet presAssocID="{0009F15B-9658-482F-BA89-A4298791A317}" presName="Name37" presStyleLbl="parChTrans1D3" presStyleIdx="1" presStyleCnt="12"/>
      <dgm:spPr/>
    </dgm:pt>
    <dgm:pt modelId="{5DD55CDE-69D1-44B7-B036-9584FD1ABCD2}" type="pres">
      <dgm:prSet presAssocID="{5BA0BB91-EA03-49D3-A1A3-8D9D72050A01}" presName="hierRoot2" presStyleCnt="0">
        <dgm:presLayoutVars>
          <dgm:hierBranch val="init"/>
        </dgm:presLayoutVars>
      </dgm:prSet>
      <dgm:spPr/>
    </dgm:pt>
    <dgm:pt modelId="{B0450A3B-D9BF-4F21-A812-01748AE8F193}" type="pres">
      <dgm:prSet presAssocID="{5BA0BB91-EA03-49D3-A1A3-8D9D72050A01}" presName="rootComposite" presStyleCnt="0"/>
      <dgm:spPr/>
    </dgm:pt>
    <dgm:pt modelId="{92F1FA60-1256-4E99-A008-184ABC218BDB}" type="pres">
      <dgm:prSet presAssocID="{5BA0BB91-EA03-49D3-A1A3-8D9D72050A01}" presName="rootText" presStyleLbl="node3" presStyleIdx="1" presStyleCnt="8" custScaleX="386211" custScaleY="163728" custLinFactY="300000" custLinFactNeighborX="-94322" custLinFactNeighborY="331999">
        <dgm:presLayoutVars>
          <dgm:chPref val="3"/>
        </dgm:presLayoutVars>
      </dgm:prSet>
      <dgm:spPr/>
    </dgm:pt>
    <dgm:pt modelId="{337E239F-58BD-43D2-97D1-A97DDFF0B16B}" type="pres">
      <dgm:prSet presAssocID="{5BA0BB91-EA03-49D3-A1A3-8D9D72050A01}" presName="rootConnector" presStyleLbl="node3" presStyleIdx="1" presStyleCnt="8"/>
      <dgm:spPr/>
    </dgm:pt>
    <dgm:pt modelId="{7BF501AF-9F50-4257-ABD3-E69EC0144D3B}" type="pres">
      <dgm:prSet presAssocID="{5BA0BB91-EA03-49D3-A1A3-8D9D72050A01}" presName="hierChild4" presStyleCnt="0"/>
      <dgm:spPr/>
    </dgm:pt>
    <dgm:pt modelId="{D5121FF6-4144-4F1B-ADD3-FE149905B49B}" type="pres">
      <dgm:prSet presAssocID="{5BA0BB91-EA03-49D3-A1A3-8D9D72050A01}" presName="hierChild5" presStyleCnt="0"/>
      <dgm:spPr/>
    </dgm:pt>
    <dgm:pt modelId="{36BE6A15-DE62-48EF-B52D-3F1A3AF2D3FE}" type="pres">
      <dgm:prSet presAssocID="{665914EA-81EA-4D98-A663-CCD80BDC14D2}" presName="Name37" presStyleLbl="parChTrans1D3" presStyleIdx="2" presStyleCnt="12"/>
      <dgm:spPr/>
    </dgm:pt>
    <dgm:pt modelId="{4C094224-4229-48BC-9A9A-E9EF96B977E8}" type="pres">
      <dgm:prSet presAssocID="{B4E48C7B-9575-4B57-B20E-615B14FA8643}" presName="hierRoot2" presStyleCnt="0">
        <dgm:presLayoutVars>
          <dgm:hierBranch val="l"/>
        </dgm:presLayoutVars>
      </dgm:prSet>
      <dgm:spPr/>
    </dgm:pt>
    <dgm:pt modelId="{B82348DE-2A23-45A7-821A-491B1FD92DA6}" type="pres">
      <dgm:prSet presAssocID="{B4E48C7B-9575-4B57-B20E-615B14FA8643}" presName="rootComposite" presStyleCnt="0"/>
      <dgm:spPr/>
    </dgm:pt>
    <dgm:pt modelId="{067662EC-3896-4EB4-9D23-C2FD6E7CE2A9}" type="pres">
      <dgm:prSet presAssocID="{B4E48C7B-9575-4B57-B20E-615B14FA8643}" presName="rootText" presStyleLbl="node3" presStyleIdx="2" presStyleCnt="8" custScaleX="384839" custScaleY="157988" custLinFactY="-300000" custLinFactNeighborX="-95335" custLinFactNeighborY="-359808">
        <dgm:presLayoutVars>
          <dgm:chPref val="3"/>
        </dgm:presLayoutVars>
      </dgm:prSet>
      <dgm:spPr/>
    </dgm:pt>
    <dgm:pt modelId="{DD5F08FA-3FBC-4C35-824C-88A074537336}" type="pres">
      <dgm:prSet presAssocID="{B4E48C7B-9575-4B57-B20E-615B14FA8643}" presName="rootConnector" presStyleLbl="node3" presStyleIdx="2" presStyleCnt="8"/>
      <dgm:spPr/>
    </dgm:pt>
    <dgm:pt modelId="{9F7DDB57-3799-4F06-A7A1-5B268B05DA55}" type="pres">
      <dgm:prSet presAssocID="{B4E48C7B-9575-4B57-B20E-615B14FA8643}" presName="hierChild4" presStyleCnt="0"/>
      <dgm:spPr/>
    </dgm:pt>
    <dgm:pt modelId="{52E66F8B-8D04-4B38-83BB-0E76E067F31B}" type="pres">
      <dgm:prSet presAssocID="{B4E48C7B-9575-4B57-B20E-615B14FA8643}" presName="hierChild5" presStyleCnt="0"/>
      <dgm:spPr/>
    </dgm:pt>
    <dgm:pt modelId="{B4EF0722-9C22-4B48-AC7A-7E53F95CD21B}" type="pres">
      <dgm:prSet presAssocID="{DECB40BC-1418-4AEA-BD33-72710860F5A6}" presName="Name37" presStyleLbl="parChTrans1D3" presStyleIdx="3" presStyleCnt="12"/>
      <dgm:spPr/>
    </dgm:pt>
    <dgm:pt modelId="{23038A4B-880A-4C01-B9C1-7850464133B6}" type="pres">
      <dgm:prSet presAssocID="{2425CDC8-EC08-402A-AF52-1AE0E8B25E90}" presName="hierRoot2" presStyleCnt="0">
        <dgm:presLayoutVars>
          <dgm:hierBranch val="init"/>
        </dgm:presLayoutVars>
      </dgm:prSet>
      <dgm:spPr/>
    </dgm:pt>
    <dgm:pt modelId="{EB247019-6650-4781-A8AC-0DE73B1205DF}" type="pres">
      <dgm:prSet presAssocID="{2425CDC8-EC08-402A-AF52-1AE0E8B25E90}" presName="rootComposite" presStyleCnt="0"/>
      <dgm:spPr/>
    </dgm:pt>
    <dgm:pt modelId="{925CDEC8-D6C0-4453-8B43-93E117091D62}" type="pres">
      <dgm:prSet presAssocID="{2425CDC8-EC08-402A-AF52-1AE0E8B25E90}" presName="rootText" presStyleLbl="node3" presStyleIdx="3" presStyleCnt="8" custScaleX="386474" custScaleY="160059" custLinFactY="-300000" custLinFactNeighborX="-93121" custLinFactNeighborY="-337710">
        <dgm:presLayoutVars>
          <dgm:chPref val="3"/>
        </dgm:presLayoutVars>
      </dgm:prSet>
      <dgm:spPr/>
    </dgm:pt>
    <dgm:pt modelId="{79F5AD68-E006-496E-B5EF-D64FBBD96DEC}" type="pres">
      <dgm:prSet presAssocID="{2425CDC8-EC08-402A-AF52-1AE0E8B25E90}" presName="rootConnector" presStyleLbl="node3" presStyleIdx="3" presStyleCnt="8"/>
      <dgm:spPr/>
    </dgm:pt>
    <dgm:pt modelId="{3381AB9D-EF15-427A-ADC5-DE2FB99BA26F}" type="pres">
      <dgm:prSet presAssocID="{2425CDC8-EC08-402A-AF52-1AE0E8B25E90}" presName="hierChild4" presStyleCnt="0"/>
      <dgm:spPr/>
    </dgm:pt>
    <dgm:pt modelId="{E6CC6FF5-2D42-4C09-9298-F7AF3966A683}" type="pres">
      <dgm:prSet presAssocID="{2425CDC8-EC08-402A-AF52-1AE0E8B25E90}" presName="hierChild5" presStyleCnt="0"/>
      <dgm:spPr/>
    </dgm:pt>
    <dgm:pt modelId="{955530A6-9EC6-417C-8DDE-8F19633BB879}" type="pres">
      <dgm:prSet presAssocID="{FAD4C776-C727-42FB-9540-310084E1FDCA}" presName="Name37" presStyleLbl="parChTrans1D3" presStyleIdx="4" presStyleCnt="12"/>
      <dgm:spPr/>
    </dgm:pt>
    <dgm:pt modelId="{1DE63014-76AA-4F44-AC79-0425E373C209}" type="pres">
      <dgm:prSet presAssocID="{F9631930-97CB-47BE-BC8A-8AB5CFDC7057}" presName="hierRoot2" presStyleCnt="0">
        <dgm:presLayoutVars>
          <dgm:hierBranch val="init"/>
        </dgm:presLayoutVars>
      </dgm:prSet>
      <dgm:spPr/>
    </dgm:pt>
    <dgm:pt modelId="{0F5D0DEC-83A3-4F1E-9A52-5C1F73110C5E}" type="pres">
      <dgm:prSet presAssocID="{F9631930-97CB-47BE-BC8A-8AB5CFDC7057}" presName="rootComposite" presStyleCnt="0"/>
      <dgm:spPr/>
    </dgm:pt>
    <dgm:pt modelId="{F739A0B2-BC8D-42D5-B470-B00B391186B7}" type="pres">
      <dgm:prSet presAssocID="{F9631930-97CB-47BE-BC8A-8AB5CFDC7057}" presName="rootText" presStyleLbl="node3" presStyleIdx="4" presStyleCnt="8" custScaleX="389180" custScaleY="143045" custLinFactY="-300000" custLinFactNeighborX="-93215" custLinFactNeighborY="-320428">
        <dgm:presLayoutVars>
          <dgm:chPref val="3"/>
        </dgm:presLayoutVars>
      </dgm:prSet>
      <dgm:spPr/>
    </dgm:pt>
    <dgm:pt modelId="{7D48EB29-4461-4EDF-AE5C-57A534F1BC5C}" type="pres">
      <dgm:prSet presAssocID="{F9631930-97CB-47BE-BC8A-8AB5CFDC7057}" presName="rootConnector" presStyleLbl="node3" presStyleIdx="4" presStyleCnt="8"/>
      <dgm:spPr/>
    </dgm:pt>
    <dgm:pt modelId="{A1D88192-26F9-430A-A0C9-B8EF1D748022}" type="pres">
      <dgm:prSet presAssocID="{F9631930-97CB-47BE-BC8A-8AB5CFDC7057}" presName="hierChild4" presStyleCnt="0"/>
      <dgm:spPr/>
    </dgm:pt>
    <dgm:pt modelId="{16D3FB1F-690C-46BB-AF6B-424025C75EA4}" type="pres">
      <dgm:prSet presAssocID="{F9631930-97CB-47BE-BC8A-8AB5CFDC7057}" presName="hierChild5" presStyleCnt="0"/>
      <dgm:spPr/>
    </dgm:pt>
    <dgm:pt modelId="{5BF2B5E9-1117-4B4A-827C-5F035D766884}" type="pres">
      <dgm:prSet presAssocID="{C5AD4FF4-9A7A-48C7-B596-B903F8BC2996}" presName="Name37" presStyleLbl="parChTrans1D3" presStyleIdx="5" presStyleCnt="12"/>
      <dgm:spPr/>
    </dgm:pt>
    <dgm:pt modelId="{01959F30-00EE-4E3B-88EC-51117B3B09BA}" type="pres">
      <dgm:prSet presAssocID="{36F39614-500A-493F-BA15-32C408968974}" presName="hierRoot2" presStyleCnt="0">
        <dgm:presLayoutVars>
          <dgm:hierBranch val="init"/>
        </dgm:presLayoutVars>
      </dgm:prSet>
      <dgm:spPr/>
    </dgm:pt>
    <dgm:pt modelId="{4934DBB3-0AD8-4675-B37F-A7DEE1008FD7}" type="pres">
      <dgm:prSet presAssocID="{36F39614-500A-493F-BA15-32C408968974}" presName="rootComposite" presStyleCnt="0"/>
      <dgm:spPr/>
    </dgm:pt>
    <dgm:pt modelId="{EE4BE5D6-53A0-4AB3-83DD-B8506B1C40CB}" type="pres">
      <dgm:prSet presAssocID="{36F39614-500A-493F-BA15-32C408968974}" presName="rootText" presStyleLbl="node3" presStyleIdx="5" presStyleCnt="8" custScaleX="383401" custScaleY="137335" custLinFactNeighborX="-95496" custLinFactNeighborY="41469">
        <dgm:presLayoutVars>
          <dgm:chPref val="3"/>
        </dgm:presLayoutVars>
      </dgm:prSet>
      <dgm:spPr/>
    </dgm:pt>
    <dgm:pt modelId="{42281223-891E-498C-9D7A-5C628C619F95}" type="pres">
      <dgm:prSet presAssocID="{36F39614-500A-493F-BA15-32C408968974}" presName="rootConnector" presStyleLbl="node3" presStyleIdx="5" presStyleCnt="8"/>
      <dgm:spPr/>
    </dgm:pt>
    <dgm:pt modelId="{1CD47AB5-0BCA-49FB-9F27-CCD898E099E9}" type="pres">
      <dgm:prSet presAssocID="{36F39614-500A-493F-BA15-32C408968974}" presName="hierChild4" presStyleCnt="0"/>
      <dgm:spPr/>
    </dgm:pt>
    <dgm:pt modelId="{7EA7ECE9-DF93-479D-A939-617A3117D9F4}" type="pres">
      <dgm:prSet presAssocID="{36F39614-500A-493F-BA15-32C408968974}" presName="hierChild5" presStyleCnt="0"/>
      <dgm:spPr/>
    </dgm:pt>
    <dgm:pt modelId="{C96AEA7C-BA8A-4D03-B006-23730A3ABFBA}" type="pres">
      <dgm:prSet presAssocID="{0C326CF7-4FBF-441C-97F0-B449BC362161}" presName="Name37" presStyleLbl="parChTrans1D3" presStyleIdx="6" presStyleCnt="12"/>
      <dgm:spPr/>
    </dgm:pt>
    <dgm:pt modelId="{19C645BC-E02B-4D61-AFED-5F0256C75675}" type="pres">
      <dgm:prSet presAssocID="{9D541AF1-00EB-46CF-A995-7AAB14241C03}" presName="hierRoot2" presStyleCnt="0">
        <dgm:presLayoutVars>
          <dgm:hierBranch val="init"/>
        </dgm:presLayoutVars>
      </dgm:prSet>
      <dgm:spPr/>
    </dgm:pt>
    <dgm:pt modelId="{11809821-A5CF-46EA-894F-E067C3DD11E1}" type="pres">
      <dgm:prSet presAssocID="{9D541AF1-00EB-46CF-A995-7AAB14241C03}" presName="rootComposite" presStyleCnt="0"/>
      <dgm:spPr/>
    </dgm:pt>
    <dgm:pt modelId="{084302F8-6875-4A83-B671-EA3A1AF4C752}" type="pres">
      <dgm:prSet presAssocID="{9D541AF1-00EB-46CF-A995-7AAB14241C03}" presName="rootText" presStyleLbl="node3" presStyleIdx="6" presStyleCnt="8" custScaleX="381970" custScaleY="154380" custLinFactY="200000" custLinFactNeighborX="-98726" custLinFactNeighborY="265389">
        <dgm:presLayoutVars>
          <dgm:chPref val="3"/>
        </dgm:presLayoutVars>
      </dgm:prSet>
      <dgm:spPr/>
    </dgm:pt>
    <dgm:pt modelId="{B78C2F2D-ACE7-4C24-A2BC-B45712E14CF2}" type="pres">
      <dgm:prSet presAssocID="{9D541AF1-00EB-46CF-A995-7AAB14241C03}" presName="rootConnector" presStyleLbl="node3" presStyleIdx="6" presStyleCnt="8"/>
      <dgm:spPr/>
    </dgm:pt>
    <dgm:pt modelId="{FF83F0D3-4719-4ED5-A8FB-52FF511A78DA}" type="pres">
      <dgm:prSet presAssocID="{9D541AF1-00EB-46CF-A995-7AAB14241C03}" presName="hierChild4" presStyleCnt="0"/>
      <dgm:spPr/>
    </dgm:pt>
    <dgm:pt modelId="{22FE2CC9-6B5E-4885-AB83-AD6D1D6C7DBB}" type="pres">
      <dgm:prSet presAssocID="{9D541AF1-00EB-46CF-A995-7AAB14241C03}" presName="hierChild5" presStyleCnt="0"/>
      <dgm:spPr/>
    </dgm:pt>
    <dgm:pt modelId="{69396521-6E5C-421D-A6B0-FD9B690F7E93}" type="pres">
      <dgm:prSet presAssocID="{4B60A094-78BD-4D0D-931C-CDDD573A9BD9}" presName="hierChild7" presStyleCnt="0"/>
      <dgm:spPr/>
    </dgm:pt>
    <dgm:pt modelId="{DE74193B-85B1-4B7C-A843-F93C3F1A33D3}" type="pres">
      <dgm:prSet presAssocID="{2310D1FB-A4C7-4CC5-8169-1AAF71162BD2}" presName="Name111" presStyleLbl="parChTrans1D3" presStyleIdx="7" presStyleCnt="12"/>
      <dgm:spPr/>
    </dgm:pt>
    <dgm:pt modelId="{CE1989FE-2F5A-4594-B2EB-7099EF35C988}" type="pres">
      <dgm:prSet presAssocID="{8F92A442-AD51-453D-A7EE-1EBC6E13B3BF}" presName="hierRoot3" presStyleCnt="0">
        <dgm:presLayoutVars>
          <dgm:hierBranch val="init"/>
        </dgm:presLayoutVars>
      </dgm:prSet>
      <dgm:spPr/>
    </dgm:pt>
    <dgm:pt modelId="{96C9254B-8299-4C73-B0E7-F1831129AF3B}" type="pres">
      <dgm:prSet presAssocID="{8F92A442-AD51-453D-A7EE-1EBC6E13B3BF}" presName="rootComposite3" presStyleCnt="0"/>
      <dgm:spPr/>
    </dgm:pt>
    <dgm:pt modelId="{4E66D112-85E0-42CA-BC26-54C7953B851B}" type="pres">
      <dgm:prSet presAssocID="{8F92A442-AD51-453D-A7EE-1EBC6E13B3BF}" presName="rootText3" presStyleLbl="asst1" presStyleIdx="1" presStyleCnt="7" custScaleX="386108" custScaleY="129935" custLinFactX="163350" custLinFactY="786671" custLinFactNeighborX="200000" custLinFactNeighborY="800000">
        <dgm:presLayoutVars>
          <dgm:chPref val="3"/>
        </dgm:presLayoutVars>
      </dgm:prSet>
      <dgm:spPr/>
    </dgm:pt>
    <dgm:pt modelId="{7558B8F6-ECB0-429C-B7A1-2884EA02E52E}" type="pres">
      <dgm:prSet presAssocID="{8F92A442-AD51-453D-A7EE-1EBC6E13B3BF}" presName="rootConnector3" presStyleLbl="asst1" presStyleIdx="1" presStyleCnt="7"/>
      <dgm:spPr/>
    </dgm:pt>
    <dgm:pt modelId="{E073AA4E-1893-4644-9204-4267C6F9F965}" type="pres">
      <dgm:prSet presAssocID="{8F92A442-AD51-453D-A7EE-1EBC6E13B3BF}" presName="hierChild6" presStyleCnt="0"/>
      <dgm:spPr/>
    </dgm:pt>
    <dgm:pt modelId="{C1FEB410-47E9-4B53-B1F5-2EAC76350F0F}" type="pres">
      <dgm:prSet presAssocID="{8F92A442-AD51-453D-A7EE-1EBC6E13B3BF}" presName="hierChild7" presStyleCnt="0"/>
      <dgm:spPr/>
    </dgm:pt>
    <dgm:pt modelId="{74794979-D9A1-4F35-B0CF-7AA8FD7C87C4}" type="pres">
      <dgm:prSet presAssocID="{A5AEF8AA-29E3-40DC-85B4-051F3D0B3F1C}" presName="Name111" presStyleLbl="parChTrans1D3" presStyleIdx="8" presStyleCnt="12"/>
      <dgm:spPr/>
    </dgm:pt>
    <dgm:pt modelId="{EE7BE7E1-BB3B-4C37-B7C9-6DACB658DCEE}" type="pres">
      <dgm:prSet presAssocID="{BAE2F5C0-6A9E-4D7E-925A-60F392B6CA3E}" presName="hierRoot3" presStyleCnt="0">
        <dgm:presLayoutVars>
          <dgm:hierBranch val="init"/>
        </dgm:presLayoutVars>
      </dgm:prSet>
      <dgm:spPr/>
    </dgm:pt>
    <dgm:pt modelId="{53133B75-6CED-4FE8-BF17-0A71DF552A2C}" type="pres">
      <dgm:prSet presAssocID="{BAE2F5C0-6A9E-4D7E-925A-60F392B6CA3E}" presName="rootComposite3" presStyleCnt="0"/>
      <dgm:spPr/>
    </dgm:pt>
    <dgm:pt modelId="{B33D1148-A21C-404A-94A6-3E1C35EC19BC}" type="pres">
      <dgm:prSet presAssocID="{BAE2F5C0-6A9E-4D7E-925A-60F392B6CA3E}" presName="rootText3" presStyleLbl="asst1" presStyleIdx="2" presStyleCnt="7" custScaleX="383665" custScaleY="149655" custLinFactY="884417" custLinFactNeighborX="-46990" custLinFactNeighborY="900000">
        <dgm:presLayoutVars>
          <dgm:chPref val="3"/>
        </dgm:presLayoutVars>
      </dgm:prSet>
      <dgm:spPr/>
    </dgm:pt>
    <dgm:pt modelId="{E9B03116-CDB1-4887-9A37-0C0BD13D193D}" type="pres">
      <dgm:prSet presAssocID="{BAE2F5C0-6A9E-4D7E-925A-60F392B6CA3E}" presName="rootConnector3" presStyleLbl="asst1" presStyleIdx="2" presStyleCnt="7"/>
      <dgm:spPr/>
    </dgm:pt>
    <dgm:pt modelId="{131E9EA9-9EDF-4A6C-ABEF-BDD9F8C7D6DE}" type="pres">
      <dgm:prSet presAssocID="{BAE2F5C0-6A9E-4D7E-925A-60F392B6CA3E}" presName="hierChild6" presStyleCnt="0"/>
      <dgm:spPr/>
    </dgm:pt>
    <dgm:pt modelId="{6B0AEBA6-624A-4D5B-8E5A-6B672B2DDF16}" type="pres">
      <dgm:prSet presAssocID="{BAE2F5C0-6A9E-4D7E-925A-60F392B6CA3E}" presName="hierChild7" presStyleCnt="0"/>
      <dgm:spPr/>
    </dgm:pt>
    <dgm:pt modelId="{4769695D-D4AD-407F-ADD2-F03D3EF43F4B}" type="pres">
      <dgm:prSet presAssocID="{899883B1-4600-45F6-87DA-D2B95565823E}" presName="Name111" presStyleLbl="parChTrans1D3" presStyleIdx="9" presStyleCnt="12"/>
      <dgm:spPr/>
    </dgm:pt>
    <dgm:pt modelId="{544C702C-F8C0-4E03-B3B4-26FBF8C34B05}" type="pres">
      <dgm:prSet presAssocID="{A3D201F0-50CE-4720-A189-2E359ABC8DF5}" presName="hierRoot3" presStyleCnt="0">
        <dgm:presLayoutVars>
          <dgm:hierBranch val="init"/>
        </dgm:presLayoutVars>
      </dgm:prSet>
      <dgm:spPr/>
    </dgm:pt>
    <dgm:pt modelId="{D5F6868D-444B-49ED-9E8D-6AE6A05F9554}" type="pres">
      <dgm:prSet presAssocID="{A3D201F0-50CE-4720-A189-2E359ABC8DF5}" presName="rootComposite3" presStyleCnt="0"/>
      <dgm:spPr/>
    </dgm:pt>
    <dgm:pt modelId="{DF7AF3B9-2C9B-46CB-8376-713672CFFF69}" type="pres">
      <dgm:prSet presAssocID="{A3D201F0-50CE-4720-A189-2E359ABC8DF5}" presName="rootText3" presStyleLbl="asst1" presStyleIdx="3" presStyleCnt="7" custScaleX="389012" custScaleY="141873" custLinFactX="166721" custLinFactY="270886" custLinFactNeighborX="200000" custLinFactNeighborY="300000">
        <dgm:presLayoutVars>
          <dgm:chPref val="3"/>
        </dgm:presLayoutVars>
      </dgm:prSet>
      <dgm:spPr/>
    </dgm:pt>
    <dgm:pt modelId="{4E2D5689-7FE5-4EDE-8E82-7D86148AEF8B}" type="pres">
      <dgm:prSet presAssocID="{A3D201F0-50CE-4720-A189-2E359ABC8DF5}" presName="rootConnector3" presStyleLbl="asst1" presStyleIdx="3" presStyleCnt="7"/>
      <dgm:spPr/>
    </dgm:pt>
    <dgm:pt modelId="{9C3EBAC9-8F1C-42B2-BADD-1A2E2BD79B87}" type="pres">
      <dgm:prSet presAssocID="{A3D201F0-50CE-4720-A189-2E359ABC8DF5}" presName="hierChild6" presStyleCnt="0"/>
      <dgm:spPr/>
    </dgm:pt>
    <dgm:pt modelId="{0EDAF628-01E0-402A-9ACE-E4143F423066}" type="pres">
      <dgm:prSet presAssocID="{A3D201F0-50CE-4720-A189-2E359ABC8DF5}" presName="hierChild7" presStyleCnt="0"/>
      <dgm:spPr/>
    </dgm:pt>
    <dgm:pt modelId="{5A6360CC-EE4A-46B9-9B5E-6A43D7A8F321}" type="pres">
      <dgm:prSet presAssocID="{BB11683B-C3D3-4A36-B100-F870ABDE97B3}" presName="Name111" presStyleLbl="parChTrans1D2" presStyleIdx="1" presStyleCnt="3"/>
      <dgm:spPr/>
    </dgm:pt>
    <dgm:pt modelId="{440FCE67-A005-44EB-8586-ED4126B31625}" type="pres">
      <dgm:prSet presAssocID="{33D8B767-E395-494E-9972-9BF7CA508793}" presName="hierRoot3" presStyleCnt="0">
        <dgm:presLayoutVars>
          <dgm:hierBranch val="init"/>
        </dgm:presLayoutVars>
      </dgm:prSet>
      <dgm:spPr/>
    </dgm:pt>
    <dgm:pt modelId="{D4E17E2A-56B9-4177-ACEE-8F8AE99EAB32}" type="pres">
      <dgm:prSet presAssocID="{33D8B767-E395-494E-9972-9BF7CA508793}" presName="rootComposite3" presStyleCnt="0"/>
      <dgm:spPr/>
    </dgm:pt>
    <dgm:pt modelId="{79C19E16-F899-40F1-BA8F-2C922A01B7F3}" type="pres">
      <dgm:prSet presAssocID="{33D8B767-E395-494E-9972-9BF7CA508793}" presName="rootText3" presStyleLbl="asst1" presStyleIdx="4" presStyleCnt="7" custScaleX="381965" custScaleY="278968" custLinFactNeighborX="-31293" custLinFactNeighborY="-8959">
        <dgm:presLayoutVars>
          <dgm:chPref val="3"/>
        </dgm:presLayoutVars>
      </dgm:prSet>
      <dgm:spPr/>
    </dgm:pt>
    <dgm:pt modelId="{A32BBA36-B707-49EC-9861-7DB347029F16}" type="pres">
      <dgm:prSet presAssocID="{33D8B767-E395-494E-9972-9BF7CA508793}" presName="rootConnector3" presStyleLbl="asst1" presStyleIdx="4" presStyleCnt="7"/>
      <dgm:spPr/>
    </dgm:pt>
    <dgm:pt modelId="{73CAD9F5-1A6B-40AB-857E-D0ECFA2CBA23}" type="pres">
      <dgm:prSet presAssocID="{33D8B767-E395-494E-9972-9BF7CA508793}" presName="hierChild6" presStyleCnt="0"/>
      <dgm:spPr/>
    </dgm:pt>
    <dgm:pt modelId="{9765182D-6170-4A19-BB92-959E4BF0B153}" type="pres">
      <dgm:prSet presAssocID="{0C1D104F-D382-4E2D-8853-101D4AFFDEC1}" presName="Name37" presStyleLbl="parChTrans1D3" presStyleIdx="10" presStyleCnt="12"/>
      <dgm:spPr/>
    </dgm:pt>
    <dgm:pt modelId="{5BF139EE-E77B-486B-8DE6-F5D336F262D7}" type="pres">
      <dgm:prSet presAssocID="{447D9230-1A51-41EC-9D28-552D77E00D74}" presName="hierRoot2" presStyleCnt="0">
        <dgm:presLayoutVars>
          <dgm:hierBranch val="init"/>
        </dgm:presLayoutVars>
      </dgm:prSet>
      <dgm:spPr/>
    </dgm:pt>
    <dgm:pt modelId="{D92D17F1-D7EB-4C44-A777-26EEF6AC2065}" type="pres">
      <dgm:prSet presAssocID="{447D9230-1A51-41EC-9D28-552D77E00D74}" presName="rootComposite" presStyleCnt="0"/>
      <dgm:spPr/>
    </dgm:pt>
    <dgm:pt modelId="{2426F101-594E-481D-9B55-AB96805AEDEA}" type="pres">
      <dgm:prSet presAssocID="{447D9230-1A51-41EC-9D28-552D77E00D74}" presName="rootText" presStyleLbl="node3" presStyleIdx="7" presStyleCnt="8" custScaleX="334287" custScaleY="193645" custLinFactNeighborX="-39243" custLinFactNeighborY="98186">
        <dgm:presLayoutVars>
          <dgm:chPref val="3"/>
        </dgm:presLayoutVars>
      </dgm:prSet>
      <dgm:spPr/>
    </dgm:pt>
    <dgm:pt modelId="{54A78690-3735-432A-9DED-951646FA9EA4}" type="pres">
      <dgm:prSet presAssocID="{447D9230-1A51-41EC-9D28-552D77E00D74}" presName="rootConnector" presStyleLbl="node3" presStyleIdx="7" presStyleCnt="8"/>
      <dgm:spPr/>
    </dgm:pt>
    <dgm:pt modelId="{5FA8F5C7-197C-4CAE-81E0-082F1B957E4E}" type="pres">
      <dgm:prSet presAssocID="{447D9230-1A51-41EC-9D28-552D77E00D74}" presName="hierChild4" presStyleCnt="0"/>
      <dgm:spPr/>
    </dgm:pt>
    <dgm:pt modelId="{872CFFBD-C038-4FE3-943A-1AEB0F7492E4}" type="pres">
      <dgm:prSet presAssocID="{447D9230-1A51-41EC-9D28-552D77E00D74}" presName="hierChild5" presStyleCnt="0"/>
      <dgm:spPr/>
    </dgm:pt>
    <dgm:pt modelId="{2258B35D-BA8D-41AC-8C0A-321827FAF408}" type="pres">
      <dgm:prSet presAssocID="{33D8B767-E395-494E-9972-9BF7CA508793}" presName="hierChild7" presStyleCnt="0"/>
      <dgm:spPr/>
    </dgm:pt>
    <dgm:pt modelId="{8BDDEA3D-8F8A-4C28-813E-0A6C33EFFFC9}" type="pres">
      <dgm:prSet presAssocID="{BDD813A8-3A37-4AEA-8CDD-D6876B5AF14A}" presName="Name111" presStyleLbl="parChTrans1D3" presStyleIdx="11" presStyleCnt="12"/>
      <dgm:spPr/>
    </dgm:pt>
    <dgm:pt modelId="{22676F63-7C95-4934-8535-0676286B8CFA}" type="pres">
      <dgm:prSet presAssocID="{147FF7BE-8D45-410E-8147-B7B27799BE14}" presName="hierRoot3" presStyleCnt="0">
        <dgm:presLayoutVars>
          <dgm:hierBranch val="init"/>
        </dgm:presLayoutVars>
      </dgm:prSet>
      <dgm:spPr/>
    </dgm:pt>
    <dgm:pt modelId="{D5723DA3-A30D-49DC-98E9-E7DCF9691A01}" type="pres">
      <dgm:prSet presAssocID="{147FF7BE-8D45-410E-8147-B7B27799BE14}" presName="rootComposite3" presStyleCnt="0"/>
      <dgm:spPr/>
    </dgm:pt>
    <dgm:pt modelId="{59640FC1-BC49-4AA8-A3FC-EDD8B7B3F4BF}" type="pres">
      <dgm:prSet presAssocID="{147FF7BE-8D45-410E-8147-B7B27799BE14}" presName="rootText3" presStyleLbl="asst1" presStyleIdx="5" presStyleCnt="7" custScaleX="324559" custScaleY="195848" custLinFactX="151177" custLinFactY="300000" custLinFactNeighborX="200000" custLinFactNeighborY="359545">
        <dgm:presLayoutVars>
          <dgm:chPref val="3"/>
        </dgm:presLayoutVars>
      </dgm:prSet>
      <dgm:spPr/>
    </dgm:pt>
    <dgm:pt modelId="{14FCDA65-61BE-4DDE-96AE-4312426401BD}" type="pres">
      <dgm:prSet presAssocID="{147FF7BE-8D45-410E-8147-B7B27799BE14}" presName="rootConnector3" presStyleLbl="asst1" presStyleIdx="5" presStyleCnt="7"/>
      <dgm:spPr/>
    </dgm:pt>
    <dgm:pt modelId="{4F1D5AAD-16ED-43A8-86AB-94FEA92BF470}" type="pres">
      <dgm:prSet presAssocID="{147FF7BE-8D45-410E-8147-B7B27799BE14}" presName="hierChild6" presStyleCnt="0"/>
      <dgm:spPr/>
    </dgm:pt>
    <dgm:pt modelId="{808E22F0-E6F7-48F6-9B4B-44FA972CA666}" type="pres">
      <dgm:prSet presAssocID="{147FF7BE-8D45-410E-8147-B7B27799BE14}" presName="hierChild7" presStyleCnt="0"/>
      <dgm:spPr/>
    </dgm:pt>
    <dgm:pt modelId="{D8ADB7F5-0943-49B4-89A5-921F1B7F51FA}" type="pres">
      <dgm:prSet presAssocID="{10F49B74-26AD-4922-83DA-DB636FCE88D5}" presName="Name111" presStyleLbl="parChTrans1D2" presStyleIdx="2" presStyleCnt="3"/>
      <dgm:spPr/>
    </dgm:pt>
    <dgm:pt modelId="{EF5373C8-39B5-44C5-83CA-BC4E80C75904}" type="pres">
      <dgm:prSet presAssocID="{A980E375-660B-422A-AB0D-1EC86C08CD20}" presName="hierRoot3" presStyleCnt="0">
        <dgm:presLayoutVars>
          <dgm:hierBranch val="init"/>
        </dgm:presLayoutVars>
      </dgm:prSet>
      <dgm:spPr/>
    </dgm:pt>
    <dgm:pt modelId="{7ECEC358-19F0-416D-B986-85604DB4BD5B}" type="pres">
      <dgm:prSet presAssocID="{A980E375-660B-422A-AB0D-1EC86C08CD20}" presName="rootComposite3" presStyleCnt="0"/>
      <dgm:spPr/>
    </dgm:pt>
    <dgm:pt modelId="{D7EB661F-47E7-4CB2-9159-CECEF0BD8406}" type="pres">
      <dgm:prSet presAssocID="{A980E375-660B-422A-AB0D-1EC86C08CD20}" presName="rootText3" presStyleLbl="asst1" presStyleIdx="6" presStyleCnt="7" custScaleX="293639" custScaleY="141351" custLinFactX="100000" custLinFactY="-1200000" custLinFactNeighborX="195218" custLinFactNeighborY="-1263347">
        <dgm:presLayoutVars>
          <dgm:chPref val="3"/>
        </dgm:presLayoutVars>
      </dgm:prSet>
      <dgm:spPr/>
    </dgm:pt>
    <dgm:pt modelId="{16D64E95-73B0-47F6-B06F-A6D9249A7D7A}" type="pres">
      <dgm:prSet presAssocID="{A980E375-660B-422A-AB0D-1EC86C08CD20}" presName="rootConnector3" presStyleLbl="asst1" presStyleIdx="6" presStyleCnt="7"/>
      <dgm:spPr/>
    </dgm:pt>
    <dgm:pt modelId="{1D6CEEE8-CC1D-4DA2-9C6B-03BB1871201D}" type="pres">
      <dgm:prSet presAssocID="{A980E375-660B-422A-AB0D-1EC86C08CD20}" presName="hierChild6" presStyleCnt="0"/>
      <dgm:spPr/>
    </dgm:pt>
    <dgm:pt modelId="{FD18FE96-3CB0-423B-AEA9-030445727AEC}" type="pres">
      <dgm:prSet presAssocID="{A980E375-660B-422A-AB0D-1EC86C08CD20}" presName="hierChild7" presStyleCnt="0"/>
      <dgm:spPr/>
    </dgm:pt>
  </dgm:ptLst>
  <dgm:cxnLst>
    <dgm:cxn modelId="{D1134608-5225-43C1-AD79-7E24B62A0972}" type="presOf" srcId="{36F39614-500A-493F-BA15-32C408968974}" destId="{EE4BE5D6-53A0-4AB3-83DD-B8506B1C40CB}" srcOrd="0" destOrd="0" presId="urn:microsoft.com/office/officeart/2005/8/layout/orgChart1"/>
    <dgm:cxn modelId="{700B870C-A224-4E02-A8D0-29A05BB6783C}" srcId="{3EA23539-154C-4900-B7B9-4A0510A07677}" destId="{A980E375-660B-422A-AB0D-1EC86C08CD20}" srcOrd="2" destOrd="0" parTransId="{10F49B74-26AD-4922-83DA-DB636FCE88D5}" sibTransId="{DB53F209-E329-4114-8D3D-FABA742580A2}"/>
    <dgm:cxn modelId="{A4849519-A03C-4797-A035-8F50739B061C}" type="presOf" srcId="{FAD4C776-C727-42FB-9540-310084E1FDCA}" destId="{955530A6-9EC6-417C-8DDE-8F19633BB879}" srcOrd="0" destOrd="0" presId="urn:microsoft.com/office/officeart/2005/8/layout/orgChart1"/>
    <dgm:cxn modelId="{C216C32A-61DC-4F84-B947-6D377186BEDB}" type="presOf" srcId="{B4E48C7B-9575-4B57-B20E-615B14FA8643}" destId="{067662EC-3896-4EB4-9D23-C2FD6E7CE2A9}" srcOrd="0" destOrd="0" presId="urn:microsoft.com/office/officeart/2005/8/layout/orgChart1"/>
    <dgm:cxn modelId="{C657AB2B-08B9-4C3E-94F9-5C67DCC26DF4}" type="presOf" srcId="{BB11683B-C3D3-4A36-B100-F870ABDE97B3}" destId="{5A6360CC-EE4A-46B9-9B5E-6A43D7A8F321}" srcOrd="0" destOrd="0" presId="urn:microsoft.com/office/officeart/2005/8/layout/orgChart1"/>
    <dgm:cxn modelId="{1E0A1C2D-7C99-42EB-ABB6-188E5F60A4FA}" type="presOf" srcId="{0C326CF7-4FBF-441C-97F0-B449BC362161}" destId="{C96AEA7C-BA8A-4D03-B006-23730A3ABFBA}" srcOrd="0" destOrd="0" presId="urn:microsoft.com/office/officeart/2005/8/layout/orgChart1"/>
    <dgm:cxn modelId="{5B014F33-CDFD-4B2F-8DB5-015295134945}" type="presOf" srcId="{33D8B767-E395-494E-9972-9BF7CA508793}" destId="{79C19E16-F899-40F1-BA8F-2C922A01B7F3}" srcOrd="0" destOrd="0" presId="urn:microsoft.com/office/officeart/2005/8/layout/orgChart1"/>
    <dgm:cxn modelId="{A5AF2E35-10A5-4E33-9981-17C4893302C3}" type="presOf" srcId="{73957815-9BE1-46CE-87DB-7B6F13E98C09}" destId="{EED62A41-64B0-4DA8-9951-8092790F40BF}" srcOrd="0" destOrd="0" presId="urn:microsoft.com/office/officeart/2005/8/layout/orgChart1"/>
    <dgm:cxn modelId="{2E5AF735-E91C-4385-91E2-E55CAA5F97F4}" srcId="{33D8B767-E395-494E-9972-9BF7CA508793}" destId="{447D9230-1A51-41EC-9D28-552D77E00D74}" srcOrd="0" destOrd="0" parTransId="{0C1D104F-D382-4E2D-8853-101D4AFFDEC1}" sibTransId="{DB8F7FE8-6F6B-4C01-8B23-002E4C95823F}"/>
    <dgm:cxn modelId="{B2AA6337-674A-469F-89BF-DDAA4F0EDBC2}" type="presOf" srcId="{147FF7BE-8D45-410E-8147-B7B27799BE14}" destId="{59640FC1-BC49-4AA8-A3FC-EDD8B7B3F4BF}" srcOrd="0" destOrd="0" presId="urn:microsoft.com/office/officeart/2005/8/layout/orgChart1"/>
    <dgm:cxn modelId="{0D5C9437-3221-449A-829E-CB70FF67E020}" srcId="{3EA23539-154C-4900-B7B9-4A0510A07677}" destId="{33D8B767-E395-494E-9972-9BF7CA508793}" srcOrd="1" destOrd="0" parTransId="{BB11683B-C3D3-4A36-B100-F870ABDE97B3}" sibTransId="{C1EDD751-897F-4A59-A441-BE33B478887E}"/>
    <dgm:cxn modelId="{643D423B-15FA-41C4-8684-54211156B370}" type="presOf" srcId="{899883B1-4600-45F6-87DA-D2B95565823E}" destId="{4769695D-D4AD-407F-ADD2-F03D3EF43F4B}" srcOrd="0" destOrd="0" presId="urn:microsoft.com/office/officeart/2005/8/layout/orgChart1"/>
    <dgm:cxn modelId="{45C5EC3F-28D1-4858-9B5B-50B6F04C8F22}" type="presOf" srcId="{A980E375-660B-422A-AB0D-1EC86C08CD20}" destId="{16D64E95-73B0-47F6-B06F-A6D9249A7D7A}" srcOrd="1" destOrd="0" presId="urn:microsoft.com/office/officeart/2005/8/layout/orgChart1"/>
    <dgm:cxn modelId="{27DD7F46-1EC7-4491-BF97-28077537C024}" type="presOf" srcId="{73957815-9BE1-46CE-87DB-7B6F13E98C09}" destId="{07201FDF-B98F-4EB5-97A4-8045C95B0D85}" srcOrd="1" destOrd="0" presId="urn:microsoft.com/office/officeart/2005/8/layout/orgChart1"/>
    <dgm:cxn modelId="{52AB4050-EAE4-4D50-BD2C-3FD4EEF5F3F8}" type="presOf" srcId="{A5AEF8AA-29E3-40DC-85B4-051F3D0B3F1C}" destId="{74794979-D9A1-4F35-B0CF-7AA8FD7C87C4}" srcOrd="0" destOrd="0" presId="urn:microsoft.com/office/officeart/2005/8/layout/orgChart1"/>
    <dgm:cxn modelId="{51D20459-ECC8-4843-897E-6318BC1595B2}" srcId="{4B60A094-78BD-4D0D-931C-CDDD573A9BD9}" destId="{73957815-9BE1-46CE-87DB-7B6F13E98C09}" srcOrd="0" destOrd="0" parTransId="{3BE200FD-095C-4282-B73D-F857AC9AE587}" sibTransId="{2C768FC1-2291-4A94-91B8-9597E5F8E80C}"/>
    <dgm:cxn modelId="{F5450859-9536-42D8-86FE-AA552E127C8D}" type="presOf" srcId="{8F92A442-AD51-453D-A7EE-1EBC6E13B3BF}" destId="{4E66D112-85E0-42CA-BC26-54C7953B851B}" srcOrd="0" destOrd="0" presId="urn:microsoft.com/office/officeart/2005/8/layout/orgChart1"/>
    <dgm:cxn modelId="{B00C766F-C6A5-43FC-A4B6-93C085FB3EFE}" type="presOf" srcId="{F9631930-97CB-47BE-BC8A-8AB5CFDC7057}" destId="{F739A0B2-BC8D-42D5-B470-B00B391186B7}" srcOrd="0" destOrd="0" presId="urn:microsoft.com/office/officeart/2005/8/layout/orgChart1"/>
    <dgm:cxn modelId="{3C728872-EF7B-4DB7-BCA4-746DE8486BFC}" type="presOf" srcId="{B4E48C7B-9575-4B57-B20E-615B14FA8643}" destId="{DD5F08FA-3FBC-4C35-824C-88A074537336}" srcOrd="1" destOrd="0" presId="urn:microsoft.com/office/officeart/2005/8/layout/orgChart1"/>
    <dgm:cxn modelId="{58EE6175-E3EE-4125-9098-E7B114CE94FF}" type="presOf" srcId="{665914EA-81EA-4D98-A663-CCD80BDC14D2}" destId="{36BE6A15-DE62-48EF-B52D-3F1A3AF2D3FE}" srcOrd="0" destOrd="0" presId="urn:microsoft.com/office/officeart/2005/8/layout/orgChart1"/>
    <dgm:cxn modelId="{C14FE575-DA82-49DA-B74A-8C33C1FE778F}" srcId="{33D8B767-E395-494E-9972-9BF7CA508793}" destId="{147FF7BE-8D45-410E-8147-B7B27799BE14}" srcOrd="1" destOrd="0" parTransId="{BDD813A8-3A37-4AEA-8CDD-D6876B5AF14A}" sibTransId="{B207F8E3-882B-438D-AC43-0B0B791927E4}"/>
    <dgm:cxn modelId="{E4432A77-DFD1-499C-ABBC-A2AD52BD3FE8}" type="presOf" srcId="{147FF7BE-8D45-410E-8147-B7B27799BE14}" destId="{14FCDA65-61BE-4DDE-96AE-4312426401BD}" srcOrd="1" destOrd="0" presId="urn:microsoft.com/office/officeart/2005/8/layout/orgChart1"/>
    <dgm:cxn modelId="{09C84777-D7D6-44CE-8166-F23114764BA4}" srcId="{4B60A094-78BD-4D0D-931C-CDDD573A9BD9}" destId="{9D541AF1-00EB-46CF-A995-7AAB14241C03}" srcOrd="6" destOrd="0" parTransId="{0C326CF7-4FBF-441C-97F0-B449BC362161}" sibTransId="{3F7AE1EF-5CAE-4D21-B3A1-63E87046E48B}"/>
    <dgm:cxn modelId="{A673D280-5C6A-482E-8A3A-7A40D6DC1EFE}" type="presOf" srcId="{0C1D104F-D382-4E2D-8853-101D4AFFDEC1}" destId="{9765182D-6170-4A19-BB92-959E4BF0B153}" srcOrd="0" destOrd="0" presId="urn:microsoft.com/office/officeart/2005/8/layout/orgChart1"/>
    <dgm:cxn modelId="{7A7CF780-451E-4B92-853E-ACAEA103CE60}" type="presOf" srcId="{4B60A094-78BD-4D0D-931C-CDDD573A9BD9}" destId="{17FC4A97-6544-4860-B4FE-FA8052140FD4}" srcOrd="1" destOrd="0" presId="urn:microsoft.com/office/officeart/2005/8/layout/orgChart1"/>
    <dgm:cxn modelId="{F16AF984-63C0-4178-8EF3-13D308208668}" srcId="{4B60A094-78BD-4D0D-931C-CDDD573A9BD9}" destId="{B4E48C7B-9575-4B57-B20E-615B14FA8643}" srcOrd="2" destOrd="0" parTransId="{665914EA-81EA-4D98-A663-CCD80BDC14D2}" sibTransId="{713D2D1E-B554-44D1-8863-7B5D0A066E18}"/>
    <dgm:cxn modelId="{473B4A85-3D3C-498F-A4ED-FC3865405DDE}" type="presOf" srcId="{36F39614-500A-493F-BA15-32C408968974}" destId="{42281223-891E-498C-9D7A-5C628C619F95}" srcOrd="1" destOrd="0" presId="urn:microsoft.com/office/officeart/2005/8/layout/orgChart1"/>
    <dgm:cxn modelId="{B3F37D8A-3749-4035-BBD0-757BC2659A11}" type="presOf" srcId="{3EA23539-154C-4900-B7B9-4A0510A07677}" destId="{BBA3030C-4E1F-44FC-8558-066E05AECD10}" srcOrd="1" destOrd="0" presId="urn:microsoft.com/office/officeart/2005/8/layout/orgChart1"/>
    <dgm:cxn modelId="{1FB9A390-6E48-4367-8CC6-4CE867A98EDC}" type="presOf" srcId="{5BA0BB91-EA03-49D3-A1A3-8D9D72050A01}" destId="{92F1FA60-1256-4E99-A008-184ABC218BDB}" srcOrd="0" destOrd="0" presId="urn:microsoft.com/office/officeart/2005/8/layout/orgChart1"/>
    <dgm:cxn modelId="{7B271F92-0512-469A-B23A-23E1D571AA4A}" type="presOf" srcId="{10F49B74-26AD-4922-83DA-DB636FCE88D5}" destId="{D8ADB7F5-0943-49B4-89A5-921F1B7F51FA}" srcOrd="0" destOrd="0" presId="urn:microsoft.com/office/officeart/2005/8/layout/orgChart1"/>
    <dgm:cxn modelId="{ABB9C493-2368-4773-B0BC-B4D6E22D6B56}" type="presOf" srcId="{2425CDC8-EC08-402A-AF52-1AE0E8B25E90}" destId="{925CDEC8-D6C0-4453-8B43-93E117091D62}" srcOrd="0" destOrd="0" presId="urn:microsoft.com/office/officeart/2005/8/layout/orgChart1"/>
    <dgm:cxn modelId="{77951A96-9967-4FC4-BFB6-1E1BD184F32A}" type="presOf" srcId="{95F3F4D8-43B5-4C2A-AFDE-FF92FB40B3D8}" destId="{853AB3C8-4E0B-4866-8FA0-EAE845889444}" srcOrd="0" destOrd="0" presId="urn:microsoft.com/office/officeart/2005/8/layout/orgChart1"/>
    <dgm:cxn modelId="{373D3596-AA23-4953-962A-0798319616F5}" srcId="{4B60A094-78BD-4D0D-931C-CDDD573A9BD9}" destId="{5BA0BB91-EA03-49D3-A1A3-8D9D72050A01}" srcOrd="1" destOrd="0" parTransId="{0009F15B-9658-482F-BA89-A4298791A317}" sibTransId="{5484F057-018E-4F88-9A2D-72660ABBFF2D}"/>
    <dgm:cxn modelId="{BCE6B19B-9852-438C-8627-D327D2193079}" type="presOf" srcId="{BAE2F5C0-6A9E-4D7E-925A-60F392B6CA3E}" destId="{E9B03116-CDB1-4887-9A37-0C0BD13D193D}" srcOrd="1" destOrd="0" presId="urn:microsoft.com/office/officeart/2005/8/layout/orgChart1"/>
    <dgm:cxn modelId="{8B87C99D-B20B-4627-918D-4F92AAEFA0ED}" type="presOf" srcId="{0009F15B-9658-482F-BA89-A4298791A317}" destId="{FC347AC4-075A-4201-943B-FEC7E761782D}" srcOrd="0" destOrd="0" presId="urn:microsoft.com/office/officeart/2005/8/layout/orgChart1"/>
    <dgm:cxn modelId="{F1E797A0-8559-486A-AA02-2B7AACD7E31B}" srcId="{4B60A094-78BD-4D0D-931C-CDDD573A9BD9}" destId="{8F92A442-AD51-453D-A7EE-1EBC6E13B3BF}" srcOrd="7" destOrd="0" parTransId="{2310D1FB-A4C7-4CC5-8169-1AAF71162BD2}" sibTransId="{3ED1A8C2-B71B-4277-9536-E63AADA50F37}"/>
    <dgm:cxn modelId="{06AD1FA6-8A72-4770-AB5A-A2C4EEF89452}" type="presOf" srcId="{3BE200FD-095C-4282-B73D-F857AC9AE587}" destId="{98CA9032-9428-4E3C-850D-DBE15A538741}" srcOrd="0" destOrd="0" presId="urn:microsoft.com/office/officeart/2005/8/layout/orgChart1"/>
    <dgm:cxn modelId="{F58363A6-2089-4234-94B7-F5C57A53E548}" type="presOf" srcId="{BAE2F5C0-6A9E-4D7E-925A-60F392B6CA3E}" destId="{B33D1148-A21C-404A-94A6-3E1C35EC19BC}" srcOrd="0" destOrd="0" presId="urn:microsoft.com/office/officeart/2005/8/layout/orgChart1"/>
    <dgm:cxn modelId="{3574BEAC-819A-45CB-A9C3-4881E7C8025E}" type="presOf" srcId="{447D9230-1A51-41EC-9D28-552D77E00D74}" destId="{54A78690-3735-432A-9DED-951646FA9EA4}" srcOrd="1" destOrd="0" presId="urn:microsoft.com/office/officeart/2005/8/layout/orgChart1"/>
    <dgm:cxn modelId="{A38671B4-DC40-48D3-94BC-42899DBCD88E}" srcId="{4B60A094-78BD-4D0D-931C-CDDD573A9BD9}" destId="{36F39614-500A-493F-BA15-32C408968974}" srcOrd="5" destOrd="0" parTransId="{C5AD4FF4-9A7A-48C7-B596-B903F8BC2996}" sibTransId="{F2026D47-E0A7-437F-9056-C9F1875F4EF0}"/>
    <dgm:cxn modelId="{7E4AA1B9-DB1D-49CA-BAF1-02698EED1C91}" type="presOf" srcId="{DECB40BC-1418-4AEA-BD33-72710860F5A6}" destId="{B4EF0722-9C22-4B48-AC7A-7E53F95CD21B}" srcOrd="0" destOrd="0" presId="urn:microsoft.com/office/officeart/2005/8/layout/orgChart1"/>
    <dgm:cxn modelId="{1F751BBE-44BF-43AC-9A4F-79D5936BF02F}" srcId="{4B60A094-78BD-4D0D-931C-CDDD573A9BD9}" destId="{A3D201F0-50CE-4720-A189-2E359ABC8DF5}" srcOrd="9" destOrd="0" parTransId="{899883B1-4600-45F6-87DA-D2B95565823E}" sibTransId="{2CF350B9-8819-4EFD-9D0D-E6BBFF1D7581}"/>
    <dgm:cxn modelId="{41DE53BF-CE13-42E8-87FD-0CF7B61FFC32}" type="presOf" srcId="{4B60A094-78BD-4D0D-931C-CDDD573A9BD9}" destId="{F127BCE6-3AF0-4186-9A8D-8FD9957D6E70}" srcOrd="0" destOrd="0" presId="urn:microsoft.com/office/officeart/2005/8/layout/orgChart1"/>
    <dgm:cxn modelId="{7E9527C0-8D2E-462A-8721-BBBB8A4116B8}" type="presOf" srcId="{A3D201F0-50CE-4720-A189-2E359ABC8DF5}" destId="{4E2D5689-7FE5-4EDE-8E82-7D86148AEF8B}" srcOrd="1" destOrd="0" presId="urn:microsoft.com/office/officeart/2005/8/layout/orgChart1"/>
    <dgm:cxn modelId="{4C8669C0-E767-4D26-BE7B-B5007FF0C15B}" type="presOf" srcId="{33D8B767-E395-494E-9972-9BF7CA508793}" destId="{A32BBA36-B707-49EC-9861-7DB347029F16}" srcOrd="1" destOrd="0" presId="urn:microsoft.com/office/officeart/2005/8/layout/orgChart1"/>
    <dgm:cxn modelId="{F599DDC9-EA83-4064-BEB5-34319A4FE08B}" type="presOf" srcId="{A980E375-660B-422A-AB0D-1EC86C08CD20}" destId="{D7EB661F-47E7-4CB2-9159-CECEF0BD8406}" srcOrd="0" destOrd="0" presId="urn:microsoft.com/office/officeart/2005/8/layout/orgChart1"/>
    <dgm:cxn modelId="{4BF36ACA-7482-488C-98A8-EA294EE975C6}" type="presOf" srcId="{BDD813A8-3A37-4AEA-8CDD-D6876B5AF14A}" destId="{8BDDEA3D-8F8A-4C28-813E-0A6C33EFFFC9}" srcOrd="0" destOrd="0" presId="urn:microsoft.com/office/officeart/2005/8/layout/orgChart1"/>
    <dgm:cxn modelId="{8F0E69CC-4835-4A09-ADED-F9BA086EBFF8}" type="presOf" srcId="{2425CDC8-EC08-402A-AF52-1AE0E8B25E90}" destId="{79F5AD68-E006-496E-B5EF-D64FBBD96DEC}" srcOrd="1" destOrd="0" presId="urn:microsoft.com/office/officeart/2005/8/layout/orgChart1"/>
    <dgm:cxn modelId="{ECCCC9CE-5474-4E8A-9B51-FA5A0F6632BE}" type="presOf" srcId="{5BA0BB91-EA03-49D3-A1A3-8D9D72050A01}" destId="{337E239F-58BD-43D2-97D1-A97DDFF0B16B}" srcOrd="1" destOrd="0" presId="urn:microsoft.com/office/officeart/2005/8/layout/orgChart1"/>
    <dgm:cxn modelId="{54E451D4-4A33-4D4E-A097-C5F0E6E5CAED}" type="presOf" srcId="{9D541AF1-00EB-46CF-A995-7AAB14241C03}" destId="{B78C2F2D-ACE7-4C24-A2BC-B45712E14CF2}" srcOrd="1" destOrd="0" presId="urn:microsoft.com/office/officeart/2005/8/layout/orgChart1"/>
    <dgm:cxn modelId="{EE748BD6-DA19-4924-8A91-76226FDFEC5D}" type="presOf" srcId="{C5AD4FF4-9A7A-48C7-B596-B903F8BC2996}" destId="{5BF2B5E9-1117-4B4A-827C-5F035D766884}" srcOrd="0" destOrd="0" presId="urn:microsoft.com/office/officeart/2005/8/layout/orgChart1"/>
    <dgm:cxn modelId="{1BE1DAD9-EF58-41A5-8333-D4FED2292DD9}" type="presOf" srcId="{A3D201F0-50CE-4720-A189-2E359ABC8DF5}" destId="{DF7AF3B9-2C9B-46CB-8376-713672CFFF69}" srcOrd="0" destOrd="0" presId="urn:microsoft.com/office/officeart/2005/8/layout/orgChart1"/>
    <dgm:cxn modelId="{D1AC47DC-9517-4F07-9D18-327B238D63AC}" srcId="{4B60A094-78BD-4D0D-931C-CDDD573A9BD9}" destId="{F9631930-97CB-47BE-BC8A-8AB5CFDC7057}" srcOrd="4" destOrd="0" parTransId="{FAD4C776-C727-42FB-9540-310084E1FDCA}" sibTransId="{D6611E40-E8D0-4E65-AB47-EDEFE6B49C42}"/>
    <dgm:cxn modelId="{35EEE2DE-9FB4-4753-951C-626B587F3947}" type="presOf" srcId="{9D541AF1-00EB-46CF-A995-7AAB14241C03}" destId="{084302F8-6875-4A83-B671-EA3A1AF4C752}" srcOrd="0" destOrd="0" presId="urn:microsoft.com/office/officeart/2005/8/layout/orgChart1"/>
    <dgm:cxn modelId="{F89D8BE0-3851-4DE3-B0E8-A9F14F4C659E}" type="presOf" srcId="{8F92A442-AD51-453D-A7EE-1EBC6E13B3BF}" destId="{7558B8F6-ECB0-429C-B7A1-2884EA02E52E}" srcOrd="1" destOrd="0" presId="urn:microsoft.com/office/officeart/2005/8/layout/orgChart1"/>
    <dgm:cxn modelId="{DA4257E4-4D60-405E-ADEB-309586D0C73B}" type="presOf" srcId="{447D9230-1A51-41EC-9D28-552D77E00D74}" destId="{2426F101-594E-481D-9B55-AB96805AEDEA}" srcOrd="0" destOrd="0" presId="urn:microsoft.com/office/officeart/2005/8/layout/orgChart1"/>
    <dgm:cxn modelId="{434BA1E5-7DB0-4BCA-9072-18DBF8149EA1}" srcId="{4B60A094-78BD-4D0D-931C-CDDD573A9BD9}" destId="{2425CDC8-EC08-402A-AF52-1AE0E8B25E90}" srcOrd="3" destOrd="0" parTransId="{DECB40BC-1418-4AEA-BD33-72710860F5A6}" sibTransId="{0343995B-9453-42FA-AAB0-82FEC60B6EE9}"/>
    <dgm:cxn modelId="{546642E9-4323-42C0-9C28-E7E89288D36B}" type="presOf" srcId="{3EA23539-154C-4900-B7B9-4A0510A07677}" destId="{408D7C7C-6B14-474F-B22E-80A58EBAAEE4}" srcOrd="0" destOrd="0" presId="urn:microsoft.com/office/officeart/2005/8/layout/orgChart1"/>
    <dgm:cxn modelId="{468582F1-C78D-473C-B3E6-3C2F53922699}" srcId="{3EA23539-154C-4900-B7B9-4A0510A07677}" destId="{4B60A094-78BD-4D0D-931C-CDDD573A9BD9}" srcOrd="0" destOrd="0" parTransId="{95F3F4D8-43B5-4C2A-AFDE-FF92FB40B3D8}" sibTransId="{EC8575B9-032B-4DEC-BC32-8DF2DD93A440}"/>
    <dgm:cxn modelId="{F69398F5-C118-49E3-9F43-DD8E5FDC129C}" srcId="{616CB7DD-C4C1-40A2-87CB-4B09DD0663AD}" destId="{3EA23539-154C-4900-B7B9-4A0510A07677}" srcOrd="0" destOrd="0" parTransId="{EDB50BEF-54D9-4915-9E19-74A6EDE93956}" sibTransId="{21DE4D5C-2DA3-4882-B489-C5AD1C6B3002}"/>
    <dgm:cxn modelId="{387CE8F9-0C13-42A7-99BD-14FEF90DBFDD}" type="presOf" srcId="{2310D1FB-A4C7-4CC5-8169-1AAF71162BD2}" destId="{DE74193B-85B1-4B7C-A843-F93C3F1A33D3}" srcOrd="0" destOrd="0" presId="urn:microsoft.com/office/officeart/2005/8/layout/orgChart1"/>
    <dgm:cxn modelId="{08EF23FA-BE25-433C-B278-883640F95B15}" srcId="{4B60A094-78BD-4D0D-931C-CDDD573A9BD9}" destId="{BAE2F5C0-6A9E-4D7E-925A-60F392B6CA3E}" srcOrd="8" destOrd="0" parTransId="{A5AEF8AA-29E3-40DC-85B4-051F3D0B3F1C}" sibTransId="{761CEB4B-0FC3-4E14-B82F-C9CC406594E1}"/>
    <dgm:cxn modelId="{76A04CFD-42DC-4D2D-81A1-070443C5B55B}" type="presOf" srcId="{F9631930-97CB-47BE-BC8A-8AB5CFDC7057}" destId="{7D48EB29-4461-4EDF-AE5C-57A534F1BC5C}" srcOrd="1" destOrd="0" presId="urn:microsoft.com/office/officeart/2005/8/layout/orgChart1"/>
    <dgm:cxn modelId="{35BE5DFD-64A4-4F60-B2C1-D5E9344B3968}" type="presOf" srcId="{616CB7DD-C4C1-40A2-87CB-4B09DD0663AD}" destId="{73EB8A71-63C9-4A2A-A06B-79743F549EAD}" srcOrd="0" destOrd="0" presId="urn:microsoft.com/office/officeart/2005/8/layout/orgChart1"/>
    <dgm:cxn modelId="{E4311BBB-83B4-4F96-8B80-05EF2773CA16}" type="presParOf" srcId="{73EB8A71-63C9-4A2A-A06B-79743F549EAD}" destId="{58156449-CF37-4384-B614-773E6CE75C9B}" srcOrd="0" destOrd="0" presId="urn:microsoft.com/office/officeart/2005/8/layout/orgChart1"/>
    <dgm:cxn modelId="{754545E5-BFF9-4643-8215-191A253F2FB1}" type="presParOf" srcId="{58156449-CF37-4384-B614-773E6CE75C9B}" destId="{D1D65025-FE06-41F8-9D8E-83DE7AE2EFE1}" srcOrd="0" destOrd="0" presId="urn:microsoft.com/office/officeart/2005/8/layout/orgChart1"/>
    <dgm:cxn modelId="{BC68FD24-06B0-4904-B639-000B78698703}" type="presParOf" srcId="{D1D65025-FE06-41F8-9D8E-83DE7AE2EFE1}" destId="{408D7C7C-6B14-474F-B22E-80A58EBAAEE4}" srcOrd="0" destOrd="0" presId="urn:microsoft.com/office/officeart/2005/8/layout/orgChart1"/>
    <dgm:cxn modelId="{EDA3CF75-D74E-46BD-87D7-77E04BB48515}" type="presParOf" srcId="{D1D65025-FE06-41F8-9D8E-83DE7AE2EFE1}" destId="{BBA3030C-4E1F-44FC-8558-066E05AECD10}" srcOrd="1" destOrd="0" presId="urn:microsoft.com/office/officeart/2005/8/layout/orgChart1"/>
    <dgm:cxn modelId="{21B4954D-8F4D-4F13-9420-E57F4EB72205}" type="presParOf" srcId="{58156449-CF37-4384-B614-773E6CE75C9B}" destId="{15336514-4E1A-4CCF-89C8-8FC3E5B79771}" srcOrd="1" destOrd="0" presId="urn:microsoft.com/office/officeart/2005/8/layout/orgChart1"/>
    <dgm:cxn modelId="{393FBB0F-0128-4E8C-AE16-9CDE8BAD0231}" type="presParOf" srcId="{58156449-CF37-4384-B614-773E6CE75C9B}" destId="{B0FF844C-19DA-456A-9D03-ACF134DA003A}" srcOrd="2" destOrd="0" presId="urn:microsoft.com/office/officeart/2005/8/layout/orgChart1"/>
    <dgm:cxn modelId="{197930E4-DE1D-4C2F-8709-B6EDC6FADC6D}" type="presParOf" srcId="{B0FF844C-19DA-456A-9D03-ACF134DA003A}" destId="{853AB3C8-4E0B-4866-8FA0-EAE845889444}" srcOrd="0" destOrd="0" presId="urn:microsoft.com/office/officeart/2005/8/layout/orgChart1"/>
    <dgm:cxn modelId="{7EEFB131-99E8-4C16-B48E-633C96883060}" type="presParOf" srcId="{B0FF844C-19DA-456A-9D03-ACF134DA003A}" destId="{15575EA1-0C35-45CA-BC15-DED7794D2355}" srcOrd="1" destOrd="0" presId="urn:microsoft.com/office/officeart/2005/8/layout/orgChart1"/>
    <dgm:cxn modelId="{E31292D1-2223-4F0F-ADE4-3B7B3694477C}" type="presParOf" srcId="{15575EA1-0C35-45CA-BC15-DED7794D2355}" destId="{20E22667-316D-4FE4-B131-5C90CC5FD51A}" srcOrd="0" destOrd="0" presId="urn:microsoft.com/office/officeart/2005/8/layout/orgChart1"/>
    <dgm:cxn modelId="{74BB3616-10A7-4C65-89FD-0AA951F8008C}" type="presParOf" srcId="{20E22667-316D-4FE4-B131-5C90CC5FD51A}" destId="{F127BCE6-3AF0-4186-9A8D-8FD9957D6E70}" srcOrd="0" destOrd="0" presId="urn:microsoft.com/office/officeart/2005/8/layout/orgChart1"/>
    <dgm:cxn modelId="{4B4A8A30-4D2F-415E-9DE6-562B63ECB02B}" type="presParOf" srcId="{20E22667-316D-4FE4-B131-5C90CC5FD51A}" destId="{17FC4A97-6544-4860-B4FE-FA8052140FD4}" srcOrd="1" destOrd="0" presId="urn:microsoft.com/office/officeart/2005/8/layout/orgChart1"/>
    <dgm:cxn modelId="{A78374DE-D705-4F4C-87FD-6406D51A0F24}" type="presParOf" srcId="{15575EA1-0C35-45CA-BC15-DED7794D2355}" destId="{AFD4FF0C-2F1D-44F7-B00C-C627119D4278}" srcOrd="1" destOrd="0" presId="urn:microsoft.com/office/officeart/2005/8/layout/orgChart1"/>
    <dgm:cxn modelId="{527EF909-E2D8-4127-B631-47E4B5B9767E}" type="presParOf" srcId="{AFD4FF0C-2F1D-44F7-B00C-C627119D4278}" destId="{98CA9032-9428-4E3C-850D-DBE15A538741}" srcOrd="0" destOrd="0" presId="urn:microsoft.com/office/officeart/2005/8/layout/orgChart1"/>
    <dgm:cxn modelId="{9D150C70-2F43-4479-B5CC-CE6CC40172C4}" type="presParOf" srcId="{AFD4FF0C-2F1D-44F7-B00C-C627119D4278}" destId="{C38140CC-A9AF-48BE-AB7C-3BC71E3BED5B}" srcOrd="1" destOrd="0" presId="urn:microsoft.com/office/officeart/2005/8/layout/orgChart1"/>
    <dgm:cxn modelId="{EF01CA4C-DA93-4E59-8777-463440F2EB17}" type="presParOf" srcId="{C38140CC-A9AF-48BE-AB7C-3BC71E3BED5B}" destId="{35EC25F9-4BD3-4F72-8A37-E44F11716F9C}" srcOrd="0" destOrd="0" presId="urn:microsoft.com/office/officeart/2005/8/layout/orgChart1"/>
    <dgm:cxn modelId="{3F20F968-618A-459E-AE8E-F018D5866DC2}" type="presParOf" srcId="{35EC25F9-4BD3-4F72-8A37-E44F11716F9C}" destId="{EED62A41-64B0-4DA8-9951-8092790F40BF}" srcOrd="0" destOrd="0" presId="urn:microsoft.com/office/officeart/2005/8/layout/orgChart1"/>
    <dgm:cxn modelId="{59263899-D6E0-4322-A03C-22E95EB4299B}" type="presParOf" srcId="{35EC25F9-4BD3-4F72-8A37-E44F11716F9C}" destId="{07201FDF-B98F-4EB5-97A4-8045C95B0D85}" srcOrd="1" destOrd="0" presId="urn:microsoft.com/office/officeart/2005/8/layout/orgChart1"/>
    <dgm:cxn modelId="{D288083C-B146-4F67-8EF2-CCEEA56D8F58}" type="presParOf" srcId="{C38140CC-A9AF-48BE-AB7C-3BC71E3BED5B}" destId="{919D691B-581A-4291-B1E6-8C94480E6862}" srcOrd="1" destOrd="0" presId="urn:microsoft.com/office/officeart/2005/8/layout/orgChart1"/>
    <dgm:cxn modelId="{10256E8C-8772-4B0F-8269-D327C0B6A848}" type="presParOf" srcId="{C38140CC-A9AF-48BE-AB7C-3BC71E3BED5B}" destId="{AC93A0D5-B948-4000-BD9B-B0E60743F9BC}" srcOrd="2" destOrd="0" presId="urn:microsoft.com/office/officeart/2005/8/layout/orgChart1"/>
    <dgm:cxn modelId="{7481BAEC-5266-41C3-8361-5E59F6E3D8F4}" type="presParOf" srcId="{AFD4FF0C-2F1D-44F7-B00C-C627119D4278}" destId="{FC347AC4-075A-4201-943B-FEC7E761782D}" srcOrd="2" destOrd="0" presId="urn:microsoft.com/office/officeart/2005/8/layout/orgChart1"/>
    <dgm:cxn modelId="{7A7A6BEC-7A9B-4D3D-84B1-4F242F96E62F}" type="presParOf" srcId="{AFD4FF0C-2F1D-44F7-B00C-C627119D4278}" destId="{5DD55CDE-69D1-44B7-B036-9584FD1ABCD2}" srcOrd="3" destOrd="0" presId="urn:microsoft.com/office/officeart/2005/8/layout/orgChart1"/>
    <dgm:cxn modelId="{99635587-8A22-4C82-901F-A8A74C702126}" type="presParOf" srcId="{5DD55CDE-69D1-44B7-B036-9584FD1ABCD2}" destId="{B0450A3B-D9BF-4F21-A812-01748AE8F193}" srcOrd="0" destOrd="0" presId="urn:microsoft.com/office/officeart/2005/8/layout/orgChart1"/>
    <dgm:cxn modelId="{252106FC-841D-4F0F-ACD9-72CAE4B22130}" type="presParOf" srcId="{B0450A3B-D9BF-4F21-A812-01748AE8F193}" destId="{92F1FA60-1256-4E99-A008-184ABC218BDB}" srcOrd="0" destOrd="0" presId="urn:microsoft.com/office/officeart/2005/8/layout/orgChart1"/>
    <dgm:cxn modelId="{8BA096DF-6AC6-4A95-AF3C-F03A137548B1}" type="presParOf" srcId="{B0450A3B-D9BF-4F21-A812-01748AE8F193}" destId="{337E239F-58BD-43D2-97D1-A97DDFF0B16B}" srcOrd="1" destOrd="0" presId="urn:microsoft.com/office/officeart/2005/8/layout/orgChart1"/>
    <dgm:cxn modelId="{74458474-7EE5-4E65-A0F6-BDDD31ED6AFE}" type="presParOf" srcId="{5DD55CDE-69D1-44B7-B036-9584FD1ABCD2}" destId="{7BF501AF-9F50-4257-ABD3-E69EC0144D3B}" srcOrd="1" destOrd="0" presId="urn:microsoft.com/office/officeart/2005/8/layout/orgChart1"/>
    <dgm:cxn modelId="{A39A496E-A310-4EBE-9AEB-75BB32A4FA96}" type="presParOf" srcId="{5DD55CDE-69D1-44B7-B036-9584FD1ABCD2}" destId="{D5121FF6-4144-4F1B-ADD3-FE149905B49B}" srcOrd="2" destOrd="0" presId="urn:microsoft.com/office/officeart/2005/8/layout/orgChart1"/>
    <dgm:cxn modelId="{8DC19025-8231-479E-B42C-9E755C385896}" type="presParOf" srcId="{AFD4FF0C-2F1D-44F7-B00C-C627119D4278}" destId="{36BE6A15-DE62-48EF-B52D-3F1A3AF2D3FE}" srcOrd="4" destOrd="0" presId="urn:microsoft.com/office/officeart/2005/8/layout/orgChart1"/>
    <dgm:cxn modelId="{0638EF7A-59CD-40C1-B36F-3ABFAA9E1742}" type="presParOf" srcId="{AFD4FF0C-2F1D-44F7-B00C-C627119D4278}" destId="{4C094224-4229-48BC-9A9A-E9EF96B977E8}" srcOrd="5" destOrd="0" presId="urn:microsoft.com/office/officeart/2005/8/layout/orgChart1"/>
    <dgm:cxn modelId="{68A6C0AC-0DD4-4612-8DD4-F7CC4E23F529}" type="presParOf" srcId="{4C094224-4229-48BC-9A9A-E9EF96B977E8}" destId="{B82348DE-2A23-45A7-821A-491B1FD92DA6}" srcOrd="0" destOrd="0" presId="urn:microsoft.com/office/officeart/2005/8/layout/orgChart1"/>
    <dgm:cxn modelId="{667F4937-1505-4A3C-90D2-8EDF317DB1AC}" type="presParOf" srcId="{B82348DE-2A23-45A7-821A-491B1FD92DA6}" destId="{067662EC-3896-4EB4-9D23-C2FD6E7CE2A9}" srcOrd="0" destOrd="0" presId="urn:microsoft.com/office/officeart/2005/8/layout/orgChart1"/>
    <dgm:cxn modelId="{7D73E92B-D5E7-4D10-9300-3512BF7B2EA2}" type="presParOf" srcId="{B82348DE-2A23-45A7-821A-491B1FD92DA6}" destId="{DD5F08FA-3FBC-4C35-824C-88A074537336}" srcOrd="1" destOrd="0" presId="urn:microsoft.com/office/officeart/2005/8/layout/orgChart1"/>
    <dgm:cxn modelId="{88396AD5-4631-4B78-8887-D293D352B7FF}" type="presParOf" srcId="{4C094224-4229-48BC-9A9A-E9EF96B977E8}" destId="{9F7DDB57-3799-4F06-A7A1-5B268B05DA55}" srcOrd="1" destOrd="0" presId="urn:microsoft.com/office/officeart/2005/8/layout/orgChart1"/>
    <dgm:cxn modelId="{0D373B51-C3F7-47C8-9489-0CFB7EA18844}" type="presParOf" srcId="{4C094224-4229-48BC-9A9A-E9EF96B977E8}" destId="{52E66F8B-8D04-4B38-83BB-0E76E067F31B}" srcOrd="2" destOrd="0" presId="urn:microsoft.com/office/officeart/2005/8/layout/orgChart1"/>
    <dgm:cxn modelId="{A56DA4DF-9FA4-482F-A9A6-5910F5782A6F}" type="presParOf" srcId="{AFD4FF0C-2F1D-44F7-B00C-C627119D4278}" destId="{B4EF0722-9C22-4B48-AC7A-7E53F95CD21B}" srcOrd="6" destOrd="0" presId="urn:microsoft.com/office/officeart/2005/8/layout/orgChart1"/>
    <dgm:cxn modelId="{1E82EC99-F7A6-4779-AF52-B0A155B3301B}" type="presParOf" srcId="{AFD4FF0C-2F1D-44F7-B00C-C627119D4278}" destId="{23038A4B-880A-4C01-B9C1-7850464133B6}" srcOrd="7" destOrd="0" presId="urn:microsoft.com/office/officeart/2005/8/layout/orgChart1"/>
    <dgm:cxn modelId="{A6240132-4892-457C-99FC-8DE180A6B201}" type="presParOf" srcId="{23038A4B-880A-4C01-B9C1-7850464133B6}" destId="{EB247019-6650-4781-A8AC-0DE73B1205DF}" srcOrd="0" destOrd="0" presId="urn:microsoft.com/office/officeart/2005/8/layout/orgChart1"/>
    <dgm:cxn modelId="{992C1B76-6D5B-460F-B389-3C1D331590ED}" type="presParOf" srcId="{EB247019-6650-4781-A8AC-0DE73B1205DF}" destId="{925CDEC8-D6C0-4453-8B43-93E117091D62}" srcOrd="0" destOrd="0" presId="urn:microsoft.com/office/officeart/2005/8/layout/orgChart1"/>
    <dgm:cxn modelId="{138CDC58-D1B8-4A3F-A010-E143A3BF6F2A}" type="presParOf" srcId="{EB247019-6650-4781-A8AC-0DE73B1205DF}" destId="{79F5AD68-E006-496E-B5EF-D64FBBD96DEC}" srcOrd="1" destOrd="0" presId="urn:microsoft.com/office/officeart/2005/8/layout/orgChart1"/>
    <dgm:cxn modelId="{EC48F744-EA1D-4151-8BC8-4B6A21616BB4}" type="presParOf" srcId="{23038A4B-880A-4C01-B9C1-7850464133B6}" destId="{3381AB9D-EF15-427A-ADC5-DE2FB99BA26F}" srcOrd="1" destOrd="0" presId="urn:microsoft.com/office/officeart/2005/8/layout/orgChart1"/>
    <dgm:cxn modelId="{3CF61E48-2A1F-4310-BC2B-B40B559AFC33}" type="presParOf" srcId="{23038A4B-880A-4C01-B9C1-7850464133B6}" destId="{E6CC6FF5-2D42-4C09-9298-F7AF3966A683}" srcOrd="2" destOrd="0" presId="urn:microsoft.com/office/officeart/2005/8/layout/orgChart1"/>
    <dgm:cxn modelId="{C7045B39-BDBA-4C2A-9F0D-BD70F39C5C6E}" type="presParOf" srcId="{AFD4FF0C-2F1D-44F7-B00C-C627119D4278}" destId="{955530A6-9EC6-417C-8DDE-8F19633BB879}" srcOrd="8" destOrd="0" presId="urn:microsoft.com/office/officeart/2005/8/layout/orgChart1"/>
    <dgm:cxn modelId="{ADC51488-EC07-454B-806C-51522484C1DA}" type="presParOf" srcId="{AFD4FF0C-2F1D-44F7-B00C-C627119D4278}" destId="{1DE63014-76AA-4F44-AC79-0425E373C209}" srcOrd="9" destOrd="0" presId="urn:microsoft.com/office/officeart/2005/8/layout/orgChart1"/>
    <dgm:cxn modelId="{A3818817-9580-409C-A0F0-B41A35805C20}" type="presParOf" srcId="{1DE63014-76AA-4F44-AC79-0425E373C209}" destId="{0F5D0DEC-83A3-4F1E-9A52-5C1F73110C5E}" srcOrd="0" destOrd="0" presId="urn:microsoft.com/office/officeart/2005/8/layout/orgChart1"/>
    <dgm:cxn modelId="{F295B8E2-C3BE-4AD7-BF34-5714D6ED4F60}" type="presParOf" srcId="{0F5D0DEC-83A3-4F1E-9A52-5C1F73110C5E}" destId="{F739A0B2-BC8D-42D5-B470-B00B391186B7}" srcOrd="0" destOrd="0" presId="urn:microsoft.com/office/officeart/2005/8/layout/orgChart1"/>
    <dgm:cxn modelId="{F1DF0BC0-9D13-4F2A-961F-71C21075C27E}" type="presParOf" srcId="{0F5D0DEC-83A3-4F1E-9A52-5C1F73110C5E}" destId="{7D48EB29-4461-4EDF-AE5C-57A534F1BC5C}" srcOrd="1" destOrd="0" presId="urn:microsoft.com/office/officeart/2005/8/layout/orgChart1"/>
    <dgm:cxn modelId="{18E01821-12C0-4E88-B921-66C87FCD5372}" type="presParOf" srcId="{1DE63014-76AA-4F44-AC79-0425E373C209}" destId="{A1D88192-26F9-430A-A0C9-B8EF1D748022}" srcOrd="1" destOrd="0" presId="urn:microsoft.com/office/officeart/2005/8/layout/orgChart1"/>
    <dgm:cxn modelId="{016C1455-3213-424F-A2BF-DB841C549905}" type="presParOf" srcId="{1DE63014-76AA-4F44-AC79-0425E373C209}" destId="{16D3FB1F-690C-46BB-AF6B-424025C75EA4}" srcOrd="2" destOrd="0" presId="urn:microsoft.com/office/officeart/2005/8/layout/orgChart1"/>
    <dgm:cxn modelId="{5A4575B0-97D5-42C9-9BB2-5B7C0FBCD3EE}" type="presParOf" srcId="{AFD4FF0C-2F1D-44F7-B00C-C627119D4278}" destId="{5BF2B5E9-1117-4B4A-827C-5F035D766884}" srcOrd="10" destOrd="0" presId="urn:microsoft.com/office/officeart/2005/8/layout/orgChart1"/>
    <dgm:cxn modelId="{258D2E5A-DAAC-4E36-B7DE-DC1751B3ECB6}" type="presParOf" srcId="{AFD4FF0C-2F1D-44F7-B00C-C627119D4278}" destId="{01959F30-00EE-4E3B-88EC-51117B3B09BA}" srcOrd="11" destOrd="0" presId="urn:microsoft.com/office/officeart/2005/8/layout/orgChart1"/>
    <dgm:cxn modelId="{378B21C9-401D-4178-83A4-82A7DF82AFFA}" type="presParOf" srcId="{01959F30-00EE-4E3B-88EC-51117B3B09BA}" destId="{4934DBB3-0AD8-4675-B37F-A7DEE1008FD7}" srcOrd="0" destOrd="0" presId="urn:microsoft.com/office/officeart/2005/8/layout/orgChart1"/>
    <dgm:cxn modelId="{8188E51D-513A-4D9B-A5FB-90974D5129AB}" type="presParOf" srcId="{4934DBB3-0AD8-4675-B37F-A7DEE1008FD7}" destId="{EE4BE5D6-53A0-4AB3-83DD-B8506B1C40CB}" srcOrd="0" destOrd="0" presId="urn:microsoft.com/office/officeart/2005/8/layout/orgChart1"/>
    <dgm:cxn modelId="{A798A7D9-8426-4035-B055-CD12C2AEF896}" type="presParOf" srcId="{4934DBB3-0AD8-4675-B37F-A7DEE1008FD7}" destId="{42281223-891E-498C-9D7A-5C628C619F95}" srcOrd="1" destOrd="0" presId="urn:microsoft.com/office/officeart/2005/8/layout/orgChart1"/>
    <dgm:cxn modelId="{ACB930B4-D1E9-4DC0-ABF6-A30E1D53BD63}" type="presParOf" srcId="{01959F30-00EE-4E3B-88EC-51117B3B09BA}" destId="{1CD47AB5-0BCA-49FB-9F27-CCD898E099E9}" srcOrd="1" destOrd="0" presId="urn:microsoft.com/office/officeart/2005/8/layout/orgChart1"/>
    <dgm:cxn modelId="{B7DA7531-F6C8-4C87-9647-241610005EDB}" type="presParOf" srcId="{01959F30-00EE-4E3B-88EC-51117B3B09BA}" destId="{7EA7ECE9-DF93-479D-A939-617A3117D9F4}" srcOrd="2" destOrd="0" presId="urn:microsoft.com/office/officeart/2005/8/layout/orgChart1"/>
    <dgm:cxn modelId="{0DD8CD65-22E3-4DC6-B3B2-237C1EA3EE64}" type="presParOf" srcId="{AFD4FF0C-2F1D-44F7-B00C-C627119D4278}" destId="{C96AEA7C-BA8A-4D03-B006-23730A3ABFBA}" srcOrd="12" destOrd="0" presId="urn:microsoft.com/office/officeart/2005/8/layout/orgChart1"/>
    <dgm:cxn modelId="{B1823D7E-3D96-4309-82EF-E5666DCD6E0B}" type="presParOf" srcId="{AFD4FF0C-2F1D-44F7-B00C-C627119D4278}" destId="{19C645BC-E02B-4D61-AFED-5F0256C75675}" srcOrd="13" destOrd="0" presId="urn:microsoft.com/office/officeart/2005/8/layout/orgChart1"/>
    <dgm:cxn modelId="{F9F50555-B53A-485E-9E11-9A07C92B6A94}" type="presParOf" srcId="{19C645BC-E02B-4D61-AFED-5F0256C75675}" destId="{11809821-A5CF-46EA-894F-E067C3DD11E1}" srcOrd="0" destOrd="0" presId="urn:microsoft.com/office/officeart/2005/8/layout/orgChart1"/>
    <dgm:cxn modelId="{D9B5E0A2-9505-4E15-8D37-CC900288CC51}" type="presParOf" srcId="{11809821-A5CF-46EA-894F-E067C3DD11E1}" destId="{084302F8-6875-4A83-B671-EA3A1AF4C752}" srcOrd="0" destOrd="0" presId="urn:microsoft.com/office/officeart/2005/8/layout/orgChart1"/>
    <dgm:cxn modelId="{683C2691-3D79-4189-88CC-F512322187AD}" type="presParOf" srcId="{11809821-A5CF-46EA-894F-E067C3DD11E1}" destId="{B78C2F2D-ACE7-4C24-A2BC-B45712E14CF2}" srcOrd="1" destOrd="0" presId="urn:microsoft.com/office/officeart/2005/8/layout/orgChart1"/>
    <dgm:cxn modelId="{FB1BFF3E-88C1-4A1E-8A8F-85728D0BD4DD}" type="presParOf" srcId="{19C645BC-E02B-4D61-AFED-5F0256C75675}" destId="{FF83F0D3-4719-4ED5-A8FB-52FF511A78DA}" srcOrd="1" destOrd="0" presId="urn:microsoft.com/office/officeart/2005/8/layout/orgChart1"/>
    <dgm:cxn modelId="{6EEAD07A-FDD1-49F7-81A0-C34F872B636D}" type="presParOf" srcId="{19C645BC-E02B-4D61-AFED-5F0256C75675}" destId="{22FE2CC9-6B5E-4885-AB83-AD6D1D6C7DBB}" srcOrd="2" destOrd="0" presId="urn:microsoft.com/office/officeart/2005/8/layout/orgChart1"/>
    <dgm:cxn modelId="{918F009F-77AA-4AE5-B3A6-43D64F3C8BE2}" type="presParOf" srcId="{15575EA1-0C35-45CA-BC15-DED7794D2355}" destId="{69396521-6E5C-421D-A6B0-FD9B690F7E93}" srcOrd="2" destOrd="0" presId="urn:microsoft.com/office/officeart/2005/8/layout/orgChart1"/>
    <dgm:cxn modelId="{4C96B608-1284-478D-AF6E-BF0452D4B7A1}" type="presParOf" srcId="{69396521-6E5C-421D-A6B0-FD9B690F7E93}" destId="{DE74193B-85B1-4B7C-A843-F93C3F1A33D3}" srcOrd="0" destOrd="0" presId="urn:microsoft.com/office/officeart/2005/8/layout/orgChart1"/>
    <dgm:cxn modelId="{DE4BDC9C-49BE-4338-BB89-1A76C56B4BE5}" type="presParOf" srcId="{69396521-6E5C-421D-A6B0-FD9B690F7E93}" destId="{CE1989FE-2F5A-4594-B2EB-7099EF35C988}" srcOrd="1" destOrd="0" presId="urn:microsoft.com/office/officeart/2005/8/layout/orgChart1"/>
    <dgm:cxn modelId="{66479B6F-36FA-464A-8735-C5EC16AFE984}" type="presParOf" srcId="{CE1989FE-2F5A-4594-B2EB-7099EF35C988}" destId="{96C9254B-8299-4C73-B0E7-F1831129AF3B}" srcOrd="0" destOrd="0" presId="urn:microsoft.com/office/officeart/2005/8/layout/orgChart1"/>
    <dgm:cxn modelId="{24E9E1B9-FDB7-4106-8254-DC583208DB9B}" type="presParOf" srcId="{96C9254B-8299-4C73-B0E7-F1831129AF3B}" destId="{4E66D112-85E0-42CA-BC26-54C7953B851B}" srcOrd="0" destOrd="0" presId="urn:microsoft.com/office/officeart/2005/8/layout/orgChart1"/>
    <dgm:cxn modelId="{15BB6F39-824D-4732-B6D8-46361D460984}" type="presParOf" srcId="{96C9254B-8299-4C73-B0E7-F1831129AF3B}" destId="{7558B8F6-ECB0-429C-B7A1-2884EA02E52E}" srcOrd="1" destOrd="0" presId="urn:microsoft.com/office/officeart/2005/8/layout/orgChart1"/>
    <dgm:cxn modelId="{D681AB16-BA7F-4F3C-8B27-4021875E304F}" type="presParOf" srcId="{CE1989FE-2F5A-4594-B2EB-7099EF35C988}" destId="{E073AA4E-1893-4644-9204-4267C6F9F965}" srcOrd="1" destOrd="0" presId="urn:microsoft.com/office/officeart/2005/8/layout/orgChart1"/>
    <dgm:cxn modelId="{D27B26A3-B119-474D-86DF-F3115B4D7CC7}" type="presParOf" srcId="{CE1989FE-2F5A-4594-B2EB-7099EF35C988}" destId="{C1FEB410-47E9-4B53-B1F5-2EAC76350F0F}" srcOrd="2" destOrd="0" presId="urn:microsoft.com/office/officeart/2005/8/layout/orgChart1"/>
    <dgm:cxn modelId="{74A7A5BD-C661-4672-AD37-3D1599AC441C}" type="presParOf" srcId="{69396521-6E5C-421D-A6B0-FD9B690F7E93}" destId="{74794979-D9A1-4F35-B0CF-7AA8FD7C87C4}" srcOrd="2" destOrd="0" presId="urn:microsoft.com/office/officeart/2005/8/layout/orgChart1"/>
    <dgm:cxn modelId="{C773CE9B-0A8E-4DC3-84C4-AE801DE998B7}" type="presParOf" srcId="{69396521-6E5C-421D-A6B0-FD9B690F7E93}" destId="{EE7BE7E1-BB3B-4C37-B7C9-6DACB658DCEE}" srcOrd="3" destOrd="0" presId="urn:microsoft.com/office/officeart/2005/8/layout/orgChart1"/>
    <dgm:cxn modelId="{E1B05230-944D-47B4-9950-5639267C0E89}" type="presParOf" srcId="{EE7BE7E1-BB3B-4C37-B7C9-6DACB658DCEE}" destId="{53133B75-6CED-4FE8-BF17-0A71DF552A2C}" srcOrd="0" destOrd="0" presId="urn:microsoft.com/office/officeart/2005/8/layout/orgChart1"/>
    <dgm:cxn modelId="{35A6F087-53C7-494E-B707-6F94D61B5F72}" type="presParOf" srcId="{53133B75-6CED-4FE8-BF17-0A71DF552A2C}" destId="{B33D1148-A21C-404A-94A6-3E1C35EC19BC}" srcOrd="0" destOrd="0" presId="urn:microsoft.com/office/officeart/2005/8/layout/orgChart1"/>
    <dgm:cxn modelId="{A095FECD-8520-40B0-9C95-B903C4BC5ED5}" type="presParOf" srcId="{53133B75-6CED-4FE8-BF17-0A71DF552A2C}" destId="{E9B03116-CDB1-4887-9A37-0C0BD13D193D}" srcOrd="1" destOrd="0" presId="urn:microsoft.com/office/officeart/2005/8/layout/orgChart1"/>
    <dgm:cxn modelId="{CB3BC402-A78C-44DE-86B2-A1DE667CBCD2}" type="presParOf" srcId="{EE7BE7E1-BB3B-4C37-B7C9-6DACB658DCEE}" destId="{131E9EA9-9EDF-4A6C-ABEF-BDD9F8C7D6DE}" srcOrd="1" destOrd="0" presId="urn:microsoft.com/office/officeart/2005/8/layout/orgChart1"/>
    <dgm:cxn modelId="{B9CDC201-E092-4712-8F78-8BBD3DE591EF}" type="presParOf" srcId="{EE7BE7E1-BB3B-4C37-B7C9-6DACB658DCEE}" destId="{6B0AEBA6-624A-4D5B-8E5A-6B672B2DDF16}" srcOrd="2" destOrd="0" presId="urn:microsoft.com/office/officeart/2005/8/layout/orgChart1"/>
    <dgm:cxn modelId="{2725D542-8294-46F4-ACCF-7932B141CCA9}" type="presParOf" srcId="{69396521-6E5C-421D-A6B0-FD9B690F7E93}" destId="{4769695D-D4AD-407F-ADD2-F03D3EF43F4B}" srcOrd="4" destOrd="0" presId="urn:microsoft.com/office/officeart/2005/8/layout/orgChart1"/>
    <dgm:cxn modelId="{51E60ADF-38B6-46DA-81F7-B1BE81DAA34A}" type="presParOf" srcId="{69396521-6E5C-421D-A6B0-FD9B690F7E93}" destId="{544C702C-F8C0-4E03-B3B4-26FBF8C34B05}" srcOrd="5" destOrd="0" presId="urn:microsoft.com/office/officeart/2005/8/layout/orgChart1"/>
    <dgm:cxn modelId="{5805366C-B61A-40A7-B712-722EC51FD5B3}" type="presParOf" srcId="{544C702C-F8C0-4E03-B3B4-26FBF8C34B05}" destId="{D5F6868D-444B-49ED-9E8D-6AE6A05F9554}" srcOrd="0" destOrd="0" presId="urn:microsoft.com/office/officeart/2005/8/layout/orgChart1"/>
    <dgm:cxn modelId="{1C6CED48-EED3-4AAD-9F75-DEC0ED7FA308}" type="presParOf" srcId="{D5F6868D-444B-49ED-9E8D-6AE6A05F9554}" destId="{DF7AF3B9-2C9B-46CB-8376-713672CFFF69}" srcOrd="0" destOrd="0" presId="urn:microsoft.com/office/officeart/2005/8/layout/orgChart1"/>
    <dgm:cxn modelId="{7033875F-3FAD-40A6-9FE8-ECE318945684}" type="presParOf" srcId="{D5F6868D-444B-49ED-9E8D-6AE6A05F9554}" destId="{4E2D5689-7FE5-4EDE-8E82-7D86148AEF8B}" srcOrd="1" destOrd="0" presId="urn:microsoft.com/office/officeart/2005/8/layout/orgChart1"/>
    <dgm:cxn modelId="{8A017C0F-BD75-4208-B4F9-470622887E04}" type="presParOf" srcId="{544C702C-F8C0-4E03-B3B4-26FBF8C34B05}" destId="{9C3EBAC9-8F1C-42B2-BADD-1A2E2BD79B87}" srcOrd="1" destOrd="0" presId="urn:microsoft.com/office/officeart/2005/8/layout/orgChart1"/>
    <dgm:cxn modelId="{F04B9DF0-0809-4936-A130-AA02F9BCD7F9}" type="presParOf" srcId="{544C702C-F8C0-4E03-B3B4-26FBF8C34B05}" destId="{0EDAF628-01E0-402A-9ACE-E4143F423066}" srcOrd="2" destOrd="0" presId="urn:microsoft.com/office/officeart/2005/8/layout/orgChart1"/>
    <dgm:cxn modelId="{EFCD27CC-93C6-420E-B410-03C8EBE173A8}" type="presParOf" srcId="{B0FF844C-19DA-456A-9D03-ACF134DA003A}" destId="{5A6360CC-EE4A-46B9-9B5E-6A43D7A8F321}" srcOrd="2" destOrd="0" presId="urn:microsoft.com/office/officeart/2005/8/layout/orgChart1"/>
    <dgm:cxn modelId="{781F2136-5644-42D5-97D9-3EEEF8681729}" type="presParOf" srcId="{B0FF844C-19DA-456A-9D03-ACF134DA003A}" destId="{440FCE67-A005-44EB-8586-ED4126B31625}" srcOrd="3" destOrd="0" presId="urn:microsoft.com/office/officeart/2005/8/layout/orgChart1"/>
    <dgm:cxn modelId="{1AD8AF0B-03E9-4712-9BEF-68FE589303C9}" type="presParOf" srcId="{440FCE67-A005-44EB-8586-ED4126B31625}" destId="{D4E17E2A-56B9-4177-ACEE-8F8AE99EAB32}" srcOrd="0" destOrd="0" presId="urn:microsoft.com/office/officeart/2005/8/layout/orgChart1"/>
    <dgm:cxn modelId="{6BD743B9-ED6A-4A92-A614-6DFC7BB7AB87}" type="presParOf" srcId="{D4E17E2A-56B9-4177-ACEE-8F8AE99EAB32}" destId="{79C19E16-F899-40F1-BA8F-2C922A01B7F3}" srcOrd="0" destOrd="0" presId="urn:microsoft.com/office/officeart/2005/8/layout/orgChart1"/>
    <dgm:cxn modelId="{EA0D429F-B046-4485-9E5F-3917E382F945}" type="presParOf" srcId="{D4E17E2A-56B9-4177-ACEE-8F8AE99EAB32}" destId="{A32BBA36-B707-49EC-9861-7DB347029F16}" srcOrd="1" destOrd="0" presId="urn:microsoft.com/office/officeart/2005/8/layout/orgChart1"/>
    <dgm:cxn modelId="{6699C78A-BFA7-41F2-8B61-78BA57DB7561}" type="presParOf" srcId="{440FCE67-A005-44EB-8586-ED4126B31625}" destId="{73CAD9F5-1A6B-40AB-857E-D0ECFA2CBA23}" srcOrd="1" destOrd="0" presId="urn:microsoft.com/office/officeart/2005/8/layout/orgChart1"/>
    <dgm:cxn modelId="{758F4ABD-7CE8-4C59-A237-FE69268EBF0D}" type="presParOf" srcId="{73CAD9F5-1A6B-40AB-857E-D0ECFA2CBA23}" destId="{9765182D-6170-4A19-BB92-959E4BF0B153}" srcOrd="0" destOrd="0" presId="urn:microsoft.com/office/officeart/2005/8/layout/orgChart1"/>
    <dgm:cxn modelId="{4C32B78B-EDB4-49F0-9CF3-7AFD90C2537D}" type="presParOf" srcId="{73CAD9F5-1A6B-40AB-857E-D0ECFA2CBA23}" destId="{5BF139EE-E77B-486B-8DE6-F5D336F262D7}" srcOrd="1" destOrd="0" presId="urn:microsoft.com/office/officeart/2005/8/layout/orgChart1"/>
    <dgm:cxn modelId="{CBF889ED-1A8C-47AA-8C5D-76F22CB110AD}" type="presParOf" srcId="{5BF139EE-E77B-486B-8DE6-F5D336F262D7}" destId="{D92D17F1-D7EB-4C44-A777-26EEF6AC2065}" srcOrd="0" destOrd="0" presId="urn:microsoft.com/office/officeart/2005/8/layout/orgChart1"/>
    <dgm:cxn modelId="{BA347A05-A60A-40EF-A32B-0CC69BE2D9C2}" type="presParOf" srcId="{D92D17F1-D7EB-4C44-A777-26EEF6AC2065}" destId="{2426F101-594E-481D-9B55-AB96805AEDEA}" srcOrd="0" destOrd="0" presId="urn:microsoft.com/office/officeart/2005/8/layout/orgChart1"/>
    <dgm:cxn modelId="{8FC1596E-9086-4F30-AFE5-D90F62AC9CC6}" type="presParOf" srcId="{D92D17F1-D7EB-4C44-A777-26EEF6AC2065}" destId="{54A78690-3735-432A-9DED-951646FA9EA4}" srcOrd="1" destOrd="0" presId="urn:microsoft.com/office/officeart/2005/8/layout/orgChart1"/>
    <dgm:cxn modelId="{A5658A27-C6F6-489D-8DE2-E4D536B73352}" type="presParOf" srcId="{5BF139EE-E77B-486B-8DE6-F5D336F262D7}" destId="{5FA8F5C7-197C-4CAE-81E0-082F1B957E4E}" srcOrd="1" destOrd="0" presId="urn:microsoft.com/office/officeart/2005/8/layout/orgChart1"/>
    <dgm:cxn modelId="{ECFA486D-107F-4121-A74F-EBCD64556FAA}" type="presParOf" srcId="{5BF139EE-E77B-486B-8DE6-F5D336F262D7}" destId="{872CFFBD-C038-4FE3-943A-1AEB0F7492E4}" srcOrd="2" destOrd="0" presId="urn:microsoft.com/office/officeart/2005/8/layout/orgChart1"/>
    <dgm:cxn modelId="{F935FD28-A36A-4DE6-8A7B-129169951123}" type="presParOf" srcId="{440FCE67-A005-44EB-8586-ED4126B31625}" destId="{2258B35D-BA8D-41AC-8C0A-321827FAF408}" srcOrd="2" destOrd="0" presId="urn:microsoft.com/office/officeart/2005/8/layout/orgChart1"/>
    <dgm:cxn modelId="{23110F7B-D26D-4C63-B4FD-54C83F49CB22}" type="presParOf" srcId="{2258B35D-BA8D-41AC-8C0A-321827FAF408}" destId="{8BDDEA3D-8F8A-4C28-813E-0A6C33EFFFC9}" srcOrd="0" destOrd="0" presId="urn:microsoft.com/office/officeart/2005/8/layout/orgChart1"/>
    <dgm:cxn modelId="{3E195D09-652B-45F0-AA80-01FCBF272772}" type="presParOf" srcId="{2258B35D-BA8D-41AC-8C0A-321827FAF408}" destId="{22676F63-7C95-4934-8535-0676286B8CFA}" srcOrd="1" destOrd="0" presId="urn:microsoft.com/office/officeart/2005/8/layout/orgChart1"/>
    <dgm:cxn modelId="{3B9C872E-B852-4FE3-84BD-3A67AA319612}" type="presParOf" srcId="{22676F63-7C95-4934-8535-0676286B8CFA}" destId="{D5723DA3-A30D-49DC-98E9-E7DCF9691A01}" srcOrd="0" destOrd="0" presId="urn:microsoft.com/office/officeart/2005/8/layout/orgChart1"/>
    <dgm:cxn modelId="{72DFD9C4-EE3B-4AA5-9AC1-B008DCADE8F2}" type="presParOf" srcId="{D5723DA3-A30D-49DC-98E9-E7DCF9691A01}" destId="{59640FC1-BC49-4AA8-A3FC-EDD8B7B3F4BF}" srcOrd="0" destOrd="0" presId="urn:microsoft.com/office/officeart/2005/8/layout/orgChart1"/>
    <dgm:cxn modelId="{37B961BE-A48A-4BE8-8A28-1DEB584F67A9}" type="presParOf" srcId="{D5723DA3-A30D-49DC-98E9-E7DCF9691A01}" destId="{14FCDA65-61BE-4DDE-96AE-4312426401BD}" srcOrd="1" destOrd="0" presId="urn:microsoft.com/office/officeart/2005/8/layout/orgChart1"/>
    <dgm:cxn modelId="{FD7B1870-001D-4676-8923-682253131E50}" type="presParOf" srcId="{22676F63-7C95-4934-8535-0676286B8CFA}" destId="{4F1D5AAD-16ED-43A8-86AB-94FEA92BF470}" srcOrd="1" destOrd="0" presId="urn:microsoft.com/office/officeart/2005/8/layout/orgChart1"/>
    <dgm:cxn modelId="{862219B2-66C5-48C6-9863-CF7633BEBCF4}" type="presParOf" srcId="{22676F63-7C95-4934-8535-0676286B8CFA}" destId="{808E22F0-E6F7-48F6-9B4B-44FA972CA666}" srcOrd="2" destOrd="0" presId="urn:microsoft.com/office/officeart/2005/8/layout/orgChart1"/>
    <dgm:cxn modelId="{B05B20D6-C955-4E3A-B1F1-A81778D06CCF}" type="presParOf" srcId="{B0FF844C-19DA-456A-9D03-ACF134DA003A}" destId="{D8ADB7F5-0943-49B4-89A5-921F1B7F51FA}" srcOrd="4" destOrd="0" presId="urn:microsoft.com/office/officeart/2005/8/layout/orgChart1"/>
    <dgm:cxn modelId="{AFF0378B-43BC-48F4-A3CB-A8EB2912E549}" type="presParOf" srcId="{B0FF844C-19DA-456A-9D03-ACF134DA003A}" destId="{EF5373C8-39B5-44C5-83CA-BC4E80C75904}" srcOrd="5" destOrd="0" presId="urn:microsoft.com/office/officeart/2005/8/layout/orgChart1"/>
    <dgm:cxn modelId="{35C20861-6787-41A6-86EA-3FD7E7CB5987}" type="presParOf" srcId="{EF5373C8-39B5-44C5-83CA-BC4E80C75904}" destId="{7ECEC358-19F0-416D-B986-85604DB4BD5B}" srcOrd="0" destOrd="0" presId="urn:microsoft.com/office/officeart/2005/8/layout/orgChart1"/>
    <dgm:cxn modelId="{35346C59-35BB-4CB8-95DB-F9F1875EA2D4}" type="presParOf" srcId="{7ECEC358-19F0-416D-B986-85604DB4BD5B}" destId="{D7EB661F-47E7-4CB2-9159-CECEF0BD8406}" srcOrd="0" destOrd="0" presId="urn:microsoft.com/office/officeart/2005/8/layout/orgChart1"/>
    <dgm:cxn modelId="{1E19BBAD-CEB4-4D11-80DE-B7B41D7A7992}" type="presParOf" srcId="{7ECEC358-19F0-416D-B986-85604DB4BD5B}" destId="{16D64E95-73B0-47F6-B06F-A6D9249A7D7A}" srcOrd="1" destOrd="0" presId="urn:microsoft.com/office/officeart/2005/8/layout/orgChart1"/>
    <dgm:cxn modelId="{056F1679-D127-4CF4-A6BF-5811C380C9D0}" type="presParOf" srcId="{EF5373C8-39B5-44C5-83CA-BC4E80C75904}" destId="{1D6CEEE8-CC1D-4DA2-9C6B-03BB1871201D}" srcOrd="1" destOrd="0" presId="urn:microsoft.com/office/officeart/2005/8/layout/orgChart1"/>
    <dgm:cxn modelId="{582CBA54-B93D-4ACF-84BD-D43CA6C45C01}" type="presParOf" srcId="{EF5373C8-39B5-44C5-83CA-BC4E80C75904}" destId="{FD18FE96-3CB0-423B-AEA9-030445727AEC}"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ADB7F5-0943-49B4-89A5-921F1B7F51FA}">
      <dsp:nvSpPr>
        <dsp:cNvPr id="0" name=""/>
        <dsp:cNvSpPr/>
      </dsp:nvSpPr>
      <dsp:spPr>
        <a:xfrm>
          <a:off x="2070302" y="750882"/>
          <a:ext cx="595193" cy="374642"/>
        </a:xfrm>
        <a:custGeom>
          <a:avLst/>
          <a:gdLst/>
          <a:ahLst/>
          <a:cxnLst/>
          <a:rect l="0" t="0" r="0" b="0"/>
          <a:pathLst>
            <a:path>
              <a:moveTo>
                <a:pt x="595193" y="0"/>
              </a:moveTo>
              <a:lnTo>
                <a:pt x="595193" y="374642"/>
              </a:lnTo>
              <a:lnTo>
                <a:pt x="0" y="374642"/>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8BDDEA3D-8F8A-4C28-813E-0A6C33EFFFC9}">
      <dsp:nvSpPr>
        <dsp:cNvPr id="0" name=""/>
        <dsp:cNvSpPr/>
      </dsp:nvSpPr>
      <dsp:spPr>
        <a:xfrm>
          <a:off x="4124592" y="2219980"/>
          <a:ext cx="166460" cy="1419198"/>
        </a:xfrm>
        <a:custGeom>
          <a:avLst/>
          <a:gdLst/>
          <a:ahLst/>
          <a:cxnLst/>
          <a:rect l="0" t="0" r="0" b="0"/>
          <a:pathLst>
            <a:path>
              <a:moveTo>
                <a:pt x="0" y="0"/>
              </a:moveTo>
              <a:lnTo>
                <a:pt x="0" y="1419198"/>
              </a:lnTo>
              <a:lnTo>
                <a:pt x="166460" y="1419198"/>
              </a:lnTo>
            </a:path>
          </a:pathLst>
        </a:custGeom>
        <a:noFill/>
        <a:ln w="12700" cap="flat" cmpd="sng" algn="ctr">
          <a:solidFill>
            <a:schemeClr val="bg1">
              <a:lumMod val="50000"/>
            </a:schemeClr>
          </a:solidFill>
          <a:prstDash val="solid"/>
          <a:miter lim="800000"/>
        </a:ln>
        <a:effectLst/>
      </dsp:spPr>
      <dsp:style>
        <a:lnRef idx="2">
          <a:scrgbClr r="0" g="0" b="0"/>
        </a:lnRef>
        <a:fillRef idx="0">
          <a:scrgbClr r="0" g="0" b="0"/>
        </a:fillRef>
        <a:effectRef idx="0">
          <a:scrgbClr r="0" g="0" b="0"/>
        </a:effectRef>
        <a:fontRef idx="minor"/>
      </dsp:style>
    </dsp:sp>
    <dsp:sp modelId="{9765182D-6170-4A19-BB92-959E4BF0B153}">
      <dsp:nvSpPr>
        <dsp:cNvPr id="0" name=""/>
        <dsp:cNvSpPr/>
      </dsp:nvSpPr>
      <dsp:spPr>
        <a:xfrm>
          <a:off x="4124592" y="2219980"/>
          <a:ext cx="173249" cy="849339"/>
        </a:xfrm>
        <a:custGeom>
          <a:avLst/>
          <a:gdLst/>
          <a:ahLst/>
          <a:cxnLst/>
          <a:rect l="0" t="0" r="0" b="0"/>
          <a:pathLst>
            <a:path>
              <a:moveTo>
                <a:pt x="0" y="0"/>
              </a:moveTo>
              <a:lnTo>
                <a:pt x="0" y="849339"/>
              </a:lnTo>
              <a:lnTo>
                <a:pt x="173249" y="849339"/>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5A6360CC-EE4A-46B9-9B5E-6A43D7A8F321}">
      <dsp:nvSpPr>
        <dsp:cNvPr id="0" name=""/>
        <dsp:cNvSpPr/>
      </dsp:nvSpPr>
      <dsp:spPr>
        <a:xfrm>
          <a:off x="2665495" y="750882"/>
          <a:ext cx="788556" cy="1224233"/>
        </a:xfrm>
        <a:custGeom>
          <a:avLst/>
          <a:gdLst/>
          <a:ahLst/>
          <a:cxnLst/>
          <a:rect l="0" t="0" r="0" b="0"/>
          <a:pathLst>
            <a:path>
              <a:moveTo>
                <a:pt x="0" y="0"/>
              </a:moveTo>
              <a:lnTo>
                <a:pt x="0" y="1224233"/>
              </a:lnTo>
              <a:lnTo>
                <a:pt x="788556" y="1224233"/>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4769695D-D4AD-407F-ADD2-F03D3EF43F4B}">
      <dsp:nvSpPr>
        <dsp:cNvPr id="0" name=""/>
        <dsp:cNvSpPr/>
      </dsp:nvSpPr>
      <dsp:spPr>
        <a:xfrm>
          <a:off x="1112745" y="2208160"/>
          <a:ext cx="177635" cy="1536771"/>
        </a:xfrm>
        <a:custGeom>
          <a:avLst/>
          <a:gdLst/>
          <a:ahLst/>
          <a:cxnLst/>
          <a:rect l="0" t="0" r="0" b="0"/>
          <a:pathLst>
            <a:path>
              <a:moveTo>
                <a:pt x="0" y="0"/>
              </a:moveTo>
              <a:lnTo>
                <a:pt x="0" y="1536771"/>
              </a:lnTo>
              <a:lnTo>
                <a:pt x="177635" y="1536771"/>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74794979-D9A1-4F35-B0CF-7AA8FD7C87C4}">
      <dsp:nvSpPr>
        <dsp:cNvPr id="0" name=""/>
        <dsp:cNvSpPr/>
      </dsp:nvSpPr>
      <dsp:spPr>
        <a:xfrm>
          <a:off x="1112745" y="2208160"/>
          <a:ext cx="164648" cy="3337509"/>
        </a:xfrm>
        <a:custGeom>
          <a:avLst/>
          <a:gdLst/>
          <a:ahLst/>
          <a:cxnLst/>
          <a:rect l="0" t="0" r="0" b="0"/>
          <a:pathLst>
            <a:path>
              <a:moveTo>
                <a:pt x="0" y="0"/>
              </a:moveTo>
              <a:lnTo>
                <a:pt x="0" y="3337509"/>
              </a:lnTo>
              <a:lnTo>
                <a:pt x="164648" y="3337509"/>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DE74193B-85B1-4B7C-A843-F93C3F1A33D3}">
      <dsp:nvSpPr>
        <dsp:cNvPr id="0" name=""/>
        <dsp:cNvSpPr/>
      </dsp:nvSpPr>
      <dsp:spPr>
        <a:xfrm>
          <a:off x="1112745" y="2208160"/>
          <a:ext cx="165800" cy="2973056"/>
        </a:xfrm>
        <a:custGeom>
          <a:avLst/>
          <a:gdLst/>
          <a:ahLst/>
          <a:cxnLst/>
          <a:rect l="0" t="0" r="0" b="0"/>
          <a:pathLst>
            <a:path>
              <a:moveTo>
                <a:pt x="0" y="0"/>
              </a:moveTo>
              <a:lnTo>
                <a:pt x="0" y="2973056"/>
              </a:lnTo>
              <a:lnTo>
                <a:pt x="165800" y="2973056"/>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C96AEA7C-BA8A-4D03-B006-23730A3ABFBA}">
      <dsp:nvSpPr>
        <dsp:cNvPr id="0" name=""/>
        <dsp:cNvSpPr/>
      </dsp:nvSpPr>
      <dsp:spPr>
        <a:xfrm>
          <a:off x="1112745" y="2208160"/>
          <a:ext cx="158550" cy="3725460"/>
        </a:xfrm>
        <a:custGeom>
          <a:avLst/>
          <a:gdLst/>
          <a:ahLst/>
          <a:cxnLst/>
          <a:rect l="0" t="0" r="0" b="0"/>
          <a:pathLst>
            <a:path>
              <a:moveTo>
                <a:pt x="0" y="0"/>
              </a:moveTo>
              <a:lnTo>
                <a:pt x="0" y="3725460"/>
              </a:lnTo>
              <a:lnTo>
                <a:pt x="158550" y="3725460"/>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5BF2B5E9-1117-4B4A-827C-5F035D766884}">
      <dsp:nvSpPr>
        <dsp:cNvPr id="0" name=""/>
        <dsp:cNvSpPr/>
      </dsp:nvSpPr>
      <dsp:spPr>
        <a:xfrm>
          <a:off x="1112745" y="2208160"/>
          <a:ext cx="169890" cy="2651483"/>
        </a:xfrm>
        <a:custGeom>
          <a:avLst/>
          <a:gdLst/>
          <a:ahLst/>
          <a:cxnLst/>
          <a:rect l="0" t="0" r="0" b="0"/>
          <a:pathLst>
            <a:path>
              <a:moveTo>
                <a:pt x="0" y="0"/>
              </a:moveTo>
              <a:lnTo>
                <a:pt x="0" y="2651483"/>
              </a:lnTo>
              <a:lnTo>
                <a:pt x="169890" y="2651483"/>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955530A6-9EC6-417C-8DDE-8F19633BB879}">
      <dsp:nvSpPr>
        <dsp:cNvPr id="0" name=""/>
        <dsp:cNvSpPr/>
      </dsp:nvSpPr>
      <dsp:spPr>
        <a:xfrm>
          <a:off x="1112745" y="2208160"/>
          <a:ext cx="177899" cy="1169685"/>
        </a:xfrm>
        <a:custGeom>
          <a:avLst/>
          <a:gdLst/>
          <a:ahLst/>
          <a:cxnLst/>
          <a:rect l="0" t="0" r="0" b="0"/>
          <a:pathLst>
            <a:path>
              <a:moveTo>
                <a:pt x="0" y="0"/>
              </a:moveTo>
              <a:lnTo>
                <a:pt x="0" y="1169685"/>
              </a:lnTo>
              <a:lnTo>
                <a:pt x="177899" y="1169685"/>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B4EF0722-9C22-4B48-AC7A-7E53F95CD21B}">
      <dsp:nvSpPr>
        <dsp:cNvPr id="0" name=""/>
        <dsp:cNvSpPr/>
      </dsp:nvSpPr>
      <dsp:spPr>
        <a:xfrm>
          <a:off x="1112745" y="2208160"/>
          <a:ext cx="178229" cy="799565"/>
        </a:xfrm>
        <a:custGeom>
          <a:avLst/>
          <a:gdLst/>
          <a:ahLst/>
          <a:cxnLst/>
          <a:rect l="0" t="0" r="0" b="0"/>
          <a:pathLst>
            <a:path>
              <a:moveTo>
                <a:pt x="0" y="0"/>
              </a:moveTo>
              <a:lnTo>
                <a:pt x="0" y="799565"/>
              </a:lnTo>
              <a:lnTo>
                <a:pt x="178229" y="799565"/>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36BE6A15-DE62-48EF-B52D-3F1A3AF2D3FE}">
      <dsp:nvSpPr>
        <dsp:cNvPr id="0" name=""/>
        <dsp:cNvSpPr/>
      </dsp:nvSpPr>
      <dsp:spPr>
        <a:xfrm>
          <a:off x="1112745" y="2208160"/>
          <a:ext cx="170456" cy="407875"/>
        </a:xfrm>
        <a:custGeom>
          <a:avLst/>
          <a:gdLst/>
          <a:ahLst/>
          <a:cxnLst/>
          <a:rect l="0" t="0" r="0" b="0"/>
          <a:pathLst>
            <a:path>
              <a:moveTo>
                <a:pt x="0" y="0"/>
              </a:moveTo>
              <a:lnTo>
                <a:pt x="0" y="407875"/>
              </a:lnTo>
              <a:lnTo>
                <a:pt x="170456" y="407875"/>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FC347AC4-075A-4201-943B-FEC7E761782D}">
      <dsp:nvSpPr>
        <dsp:cNvPr id="0" name=""/>
        <dsp:cNvSpPr/>
      </dsp:nvSpPr>
      <dsp:spPr>
        <a:xfrm>
          <a:off x="1112745" y="2208160"/>
          <a:ext cx="174012" cy="2319528"/>
        </a:xfrm>
        <a:custGeom>
          <a:avLst/>
          <a:gdLst/>
          <a:ahLst/>
          <a:cxnLst/>
          <a:rect l="0" t="0" r="0" b="0"/>
          <a:pathLst>
            <a:path>
              <a:moveTo>
                <a:pt x="0" y="0"/>
              </a:moveTo>
              <a:lnTo>
                <a:pt x="0" y="2319528"/>
              </a:lnTo>
              <a:lnTo>
                <a:pt x="174012" y="2319528"/>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98CA9032-9428-4E3C-850D-DBE15A538741}">
      <dsp:nvSpPr>
        <dsp:cNvPr id="0" name=""/>
        <dsp:cNvSpPr/>
      </dsp:nvSpPr>
      <dsp:spPr>
        <a:xfrm>
          <a:off x="1112745" y="2208160"/>
          <a:ext cx="165424" cy="1916010"/>
        </a:xfrm>
        <a:custGeom>
          <a:avLst/>
          <a:gdLst/>
          <a:ahLst/>
          <a:cxnLst/>
          <a:rect l="0" t="0" r="0" b="0"/>
          <a:pathLst>
            <a:path>
              <a:moveTo>
                <a:pt x="0" y="0"/>
              </a:moveTo>
              <a:lnTo>
                <a:pt x="0" y="1916010"/>
              </a:lnTo>
              <a:lnTo>
                <a:pt x="165424" y="1916010"/>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853AB3C8-4E0B-4866-8FA0-EAE845889444}">
      <dsp:nvSpPr>
        <dsp:cNvPr id="0" name=""/>
        <dsp:cNvSpPr/>
      </dsp:nvSpPr>
      <dsp:spPr>
        <a:xfrm>
          <a:off x="1820787" y="750882"/>
          <a:ext cx="844707" cy="1226253"/>
        </a:xfrm>
        <a:custGeom>
          <a:avLst/>
          <a:gdLst/>
          <a:ahLst/>
          <a:cxnLst/>
          <a:rect l="0" t="0" r="0" b="0"/>
          <a:pathLst>
            <a:path>
              <a:moveTo>
                <a:pt x="844707" y="0"/>
              </a:moveTo>
              <a:lnTo>
                <a:pt x="844707" y="1226253"/>
              </a:lnTo>
              <a:lnTo>
                <a:pt x="0" y="1226253"/>
              </a:lnTo>
            </a:path>
          </a:pathLst>
        </a:custGeom>
        <a:noFill/>
        <a:ln w="12700" cap="flat" cmpd="sng" algn="ctr">
          <a:solidFill>
            <a:schemeClr val="tx1">
              <a:lumMod val="50000"/>
              <a:lumOff val="50000"/>
            </a:schemeClr>
          </a:solidFill>
          <a:prstDash val="solid"/>
          <a:miter lim="800000"/>
        </a:ln>
        <a:effectLst/>
      </dsp:spPr>
      <dsp:style>
        <a:lnRef idx="2">
          <a:scrgbClr r="0" g="0" b="0"/>
        </a:lnRef>
        <a:fillRef idx="0">
          <a:scrgbClr r="0" g="0" b="0"/>
        </a:fillRef>
        <a:effectRef idx="0">
          <a:scrgbClr r="0" g="0" b="0"/>
        </a:effectRef>
        <a:fontRef idx="minor"/>
      </dsp:style>
    </dsp:sp>
    <dsp:sp modelId="{408D7C7C-6B14-474F-B22E-80A58EBAAEE4}">
      <dsp:nvSpPr>
        <dsp:cNvPr id="0" name=""/>
        <dsp:cNvSpPr/>
      </dsp:nvSpPr>
      <dsp:spPr>
        <a:xfrm>
          <a:off x="1948575" y="326429"/>
          <a:ext cx="1433838" cy="424452"/>
        </a:xfrm>
        <a:prstGeom prst="rect">
          <a:avLst/>
        </a:prstGeom>
        <a:solidFill>
          <a:srgbClr val="C00000"/>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b="1" kern="1200" dirty="0">
              <a:solidFill>
                <a:schemeClr val="bg1"/>
              </a:solidFill>
              <a:latin typeface="Arial" panose="020B0604020202020204" pitchFamily="34" charset="0"/>
              <a:cs typeface="Arial" panose="020B0604020202020204" pitchFamily="34" charset="0"/>
            </a:rPr>
            <a:t>DESPACHO</a:t>
          </a:r>
        </a:p>
        <a:p>
          <a:pPr marL="0" lvl="0" indent="0" algn="ctr" defTabSz="444500">
            <a:lnSpc>
              <a:spcPct val="90000"/>
            </a:lnSpc>
            <a:spcBef>
              <a:spcPct val="0"/>
            </a:spcBef>
            <a:spcAft>
              <a:spcPct val="35000"/>
            </a:spcAft>
            <a:buNone/>
          </a:pPr>
          <a:r>
            <a:rPr lang="es-MX" sz="700" b="0" kern="1200" dirty="0">
              <a:solidFill>
                <a:schemeClr val="bg1"/>
              </a:solidFill>
              <a:latin typeface="Arial" panose="020B0604020202020204" pitchFamily="34" charset="0"/>
              <a:cs typeface="Arial" panose="020B0604020202020204" pitchFamily="34" charset="0"/>
            </a:rPr>
            <a:t>Planta: 3    Contratistas: 9</a:t>
          </a:r>
          <a:endParaRPr lang="es-CO" sz="700" b="0" kern="1200" dirty="0">
            <a:solidFill>
              <a:schemeClr val="bg1"/>
            </a:solidFill>
            <a:latin typeface="Arial" panose="020B0604020202020204" pitchFamily="34" charset="0"/>
            <a:cs typeface="Arial" panose="020B0604020202020204" pitchFamily="34" charset="0"/>
          </a:endParaRPr>
        </a:p>
      </dsp:txBody>
      <dsp:txXfrm>
        <a:off x="1948575" y="326429"/>
        <a:ext cx="1433838" cy="424452"/>
      </dsp:txXfrm>
    </dsp:sp>
    <dsp:sp modelId="{F127BCE6-3AF0-4186-9A8D-8FD9957D6E70}">
      <dsp:nvSpPr>
        <dsp:cNvPr id="0" name=""/>
        <dsp:cNvSpPr/>
      </dsp:nvSpPr>
      <dsp:spPr>
        <a:xfrm>
          <a:off x="404703" y="1746110"/>
          <a:ext cx="1416083" cy="462050"/>
        </a:xfrm>
        <a:prstGeom prst="rect">
          <a:avLst/>
        </a:prstGeom>
        <a:solidFill>
          <a:srgbClr val="C00000"/>
        </a:solidFill>
        <a:ln w="12700" cap="flat" cmpd="sng" algn="ctr">
          <a:solidFill>
            <a:srgbClr val="C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b="1" kern="1200" dirty="0">
              <a:solidFill>
                <a:schemeClr val="bg1"/>
              </a:solidFill>
              <a:latin typeface="Arial" panose="020B0604020202020204" pitchFamily="34" charset="0"/>
              <a:cs typeface="Arial" panose="020B0604020202020204" pitchFamily="34" charset="0"/>
            </a:rPr>
            <a:t>ÁREA DE GESTIÓN DEL DESARROLLO LOCAL</a:t>
          </a:r>
        </a:p>
      </dsp:txBody>
      <dsp:txXfrm>
        <a:off x="404703" y="1746110"/>
        <a:ext cx="1416083" cy="462050"/>
      </dsp:txXfrm>
    </dsp:sp>
    <dsp:sp modelId="{EED62A41-64B0-4DA8-9951-8092790F40BF}">
      <dsp:nvSpPr>
        <dsp:cNvPr id="0" name=""/>
        <dsp:cNvSpPr/>
      </dsp:nvSpPr>
      <dsp:spPr>
        <a:xfrm>
          <a:off x="1278170" y="3994286"/>
          <a:ext cx="1358134" cy="259768"/>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b="1" kern="1200">
              <a:solidFill>
                <a:schemeClr val="bg1"/>
              </a:solidFill>
              <a:latin typeface="Arial" panose="020B0604020202020204" pitchFamily="34" charset="0"/>
              <a:cs typeface="Arial" panose="020B0604020202020204" pitchFamily="34" charset="0"/>
            </a:rPr>
            <a:t>CDI </a:t>
          </a:r>
          <a:endParaRPr lang="es-MX" sz="800" b="1" kern="1200" dirty="0">
            <a:solidFill>
              <a:schemeClr val="bg1"/>
            </a:solidFill>
            <a:latin typeface="Arial" panose="020B0604020202020204" pitchFamily="34" charset="0"/>
            <a:cs typeface="Arial" panose="020B0604020202020204" pitchFamily="34" charset="0"/>
          </a:endParaRPr>
        </a:p>
        <a:p>
          <a:pPr marL="0" lvl="0" indent="0" algn="ctr" defTabSz="355600">
            <a:lnSpc>
              <a:spcPct val="90000"/>
            </a:lnSpc>
            <a:spcBef>
              <a:spcPct val="0"/>
            </a:spcBef>
            <a:spcAft>
              <a:spcPct val="35000"/>
            </a:spcAft>
            <a:buNone/>
          </a:pPr>
          <a:r>
            <a:rPr lang="es-CO" sz="700" b="0" kern="1200" dirty="0">
              <a:solidFill>
                <a:schemeClr val="bg1"/>
              </a:solidFill>
              <a:latin typeface="Arial" panose="020B0604020202020204" pitchFamily="34" charset="0"/>
              <a:cs typeface="Arial" panose="020B0604020202020204" pitchFamily="34" charset="0"/>
            </a:rPr>
            <a:t>Planta: 1 Contratistas:19 </a:t>
          </a:r>
        </a:p>
      </dsp:txBody>
      <dsp:txXfrm>
        <a:off x="1278170" y="3994286"/>
        <a:ext cx="1358134" cy="259768"/>
      </dsp:txXfrm>
    </dsp:sp>
    <dsp:sp modelId="{92F1FA60-1256-4E99-A008-184ABC218BDB}">
      <dsp:nvSpPr>
        <dsp:cNvPr id="0" name=""/>
        <dsp:cNvSpPr/>
      </dsp:nvSpPr>
      <dsp:spPr>
        <a:xfrm>
          <a:off x="1286758" y="4383977"/>
          <a:ext cx="1355989" cy="287425"/>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b="1" kern="1200" dirty="0">
              <a:solidFill>
                <a:schemeClr val="bg1"/>
              </a:solidFill>
              <a:latin typeface="Arial" panose="020B0604020202020204" pitchFamily="34" charset="0"/>
              <a:cs typeface="Arial" panose="020B0604020202020204" pitchFamily="34" charset="0"/>
            </a:rPr>
            <a:t>Gestión Documental</a:t>
          </a:r>
        </a:p>
        <a:p>
          <a:pPr marL="0" lvl="0" indent="0" algn="ctr" defTabSz="355600">
            <a:lnSpc>
              <a:spcPct val="90000"/>
            </a:lnSpc>
            <a:spcBef>
              <a:spcPct val="0"/>
            </a:spcBef>
            <a:spcAft>
              <a:spcPct val="35000"/>
            </a:spcAft>
            <a:buNone/>
          </a:pPr>
          <a:r>
            <a:rPr lang="es-MX" sz="700" b="0" kern="1200" dirty="0">
              <a:solidFill>
                <a:schemeClr val="bg1"/>
              </a:solidFill>
              <a:latin typeface="Arial" panose="020B0604020202020204" pitchFamily="34" charset="0"/>
              <a:cs typeface="Arial" panose="020B0604020202020204" pitchFamily="34" charset="0"/>
            </a:rPr>
            <a:t> Contratistas: 14</a:t>
          </a:r>
          <a:endParaRPr lang="es-CO" sz="700" b="0" kern="1200" dirty="0">
            <a:solidFill>
              <a:schemeClr val="bg1"/>
            </a:solidFill>
            <a:latin typeface="Arial" panose="020B0604020202020204" pitchFamily="34" charset="0"/>
            <a:cs typeface="Arial" panose="020B0604020202020204" pitchFamily="34" charset="0"/>
          </a:endParaRPr>
        </a:p>
      </dsp:txBody>
      <dsp:txXfrm>
        <a:off x="1286758" y="4383977"/>
        <a:ext cx="1355989" cy="287425"/>
      </dsp:txXfrm>
    </dsp:sp>
    <dsp:sp modelId="{067662EC-3896-4EB4-9D23-C2FD6E7CE2A9}">
      <dsp:nvSpPr>
        <dsp:cNvPr id="0" name=""/>
        <dsp:cNvSpPr/>
      </dsp:nvSpPr>
      <dsp:spPr>
        <a:xfrm>
          <a:off x="1283201" y="2477361"/>
          <a:ext cx="1351172" cy="277348"/>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b="1" kern="1200" dirty="0">
              <a:solidFill>
                <a:schemeClr val="bg1"/>
              </a:solidFill>
              <a:latin typeface="Arial" panose="020B0604020202020204" pitchFamily="34" charset="0"/>
              <a:cs typeface="Arial" panose="020B0604020202020204" pitchFamily="34" charset="0"/>
            </a:rPr>
            <a:t>Planeación</a:t>
          </a:r>
        </a:p>
        <a:p>
          <a:pPr marL="0" lvl="0" indent="0" algn="ctr" defTabSz="355600">
            <a:lnSpc>
              <a:spcPct val="90000"/>
            </a:lnSpc>
            <a:spcBef>
              <a:spcPct val="0"/>
            </a:spcBef>
            <a:spcAft>
              <a:spcPct val="35000"/>
            </a:spcAft>
            <a:buNone/>
          </a:pPr>
          <a:r>
            <a:rPr lang="es-MX" sz="700" b="0" kern="1200" dirty="0">
              <a:solidFill>
                <a:schemeClr val="bg1"/>
              </a:solidFill>
              <a:latin typeface="Arial" panose="020B0604020202020204" pitchFamily="34" charset="0"/>
              <a:cs typeface="Arial" panose="020B0604020202020204" pitchFamily="34" charset="0"/>
            </a:rPr>
            <a:t>Planta: 6  Contratistas: 15</a:t>
          </a:r>
          <a:endParaRPr lang="es-CO" sz="700" b="0" kern="1200" dirty="0">
            <a:solidFill>
              <a:schemeClr val="bg1"/>
            </a:solidFill>
            <a:latin typeface="Arial" panose="020B0604020202020204" pitchFamily="34" charset="0"/>
            <a:cs typeface="Arial" panose="020B0604020202020204" pitchFamily="34" charset="0"/>
          </a:endParaRPr>
        </a:p>
      </dsp:txBody>
      <dsp:txXfrm>
        <a:off x="1283201" y="2477361"/>
        <a:ext cx="1351172" cy="277348"/>
      </dsp:txXfrm>
    </dsp:sp>
    <dsp:sp modelId="{925CDEC8-D6C0-4453-8B43-93E117091D62}">
      <dsp:nvSpPr>
        <dsp:cNvPr id="0" name=""/>
        <dsp:cNvSpPr/>
      </dsp:nvSpPr>
      <dsp:spPr>
        <a:xfrm>
          <a:off x="1290974" y="2867234"/>
          <a:ext cx="1356912" cy="280984"/>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b="1" kern="1200" dirty="0">
              <a:solidFill>
                <a:schemeClr val="bg1"/>
              </a:solidFill>
              <a:latin typeface="Arial" panose="020B0604020202020204" pitchFamily="34" charset="0"/>
              <a:cs typeface="Arial" panose="020B0604020202020204" pitchFamily="34" charset="0"/>
            </a:rPr>
            <a:t>Presupuesto y contabilidad</a:t>
          </a:r>
        </a:p>
        <a:p>
          <a:pPr marL="0" lvl="0" indent="0" algn="ctr" defTabSz="355600">
            <a:lnSpc>
              <a:spcPct val="90000"/>
            </a:lnSpc>
            <a:spcBef>
              <a:spcPct val="0"/>
            </a:spcBef>
            <a:spcAft>
              <a:spcPct val="35000"/>
            </a:spcAft>
            <a:buNone/>
          </a:pPr>
          <a:r>
            <a:rPr lang="es-MX" sz="700" b="0" kern="1200" dirty="0">
              <a:solidFill>
                <a:schemeClr val="bg1"/>
              </a:solidFill>
              <a:latin typeface="Arial" panose="020B0604020202020204" pitchFamily="34" charset="0"/>
              <a:cs typeface="Arial" panose="020B0604020202020204" pitchFamily="34" charset="0"/>
            </a:rPr>
            <a:t>Planta: 2   Contratistas: 3</a:t>
          </a:r>
          <a:endParaRPr lang="es-CO" sz="700" b="0" kern="1200" dirty="0">
            <a:solidFill>
              <a:schemeClr val="bg1"/>
            </a:solidFill>
            <a:latin typeface="Arial" panose="020B0604020202020204" pitchFamily="34" charset="0"/>
            <a:cs typeface="Arial" panose="020B0604020202020204" pitchFamily="34" charset="0"/>
          </a:endParaRPr>
        </a:p>
      </dsp:txBody>
      <dsp:txXfrm>
        <a:off x="1290974" y="2867234"/>
        <a:ext cx="1356912" cy="280984"/>
      </dsp:txXfrm>
    </dsp:sp>
    <dsp:sp modelId="{F739A0B2-BC8D-42D5-B470-B00B391186B7}">
      <dsp:nvSpPr>
        <dsp:cNvPr id="0" name=""/>
        <dsp:cNvSpPr/>
      </dsp:nvSpPr>
      <dsp:spPr>
        <a:xfrm>
          <a:off x="1290644" y="3252288"/>
          <a:ext cx="1366413" cy="251115"/>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b="1" kern="1200" dirty="0">
              <a:solidFill>
                <a:schemeClr val="bg1"/>
              </a:solidFill>
              <a:latin typeface="Arial" panose="020B0604020202020204" pitchFamily="34" charset="0"/>
              <a:cs typeface="Arial" panose="020B0604020202020204" pitchFamily="34" charset="0"/>
            </a:rPr>
            <a:t>Almacén</a:t>
          </a:r>
        </a:p>
        <a:p>
          <a:pPr marL="0" lvl="0" indent="0" algn="ctr" defTabSz="355600">
            <a:lnSpc>
              <a:spcPct val="90000"/>
            </a:lnSpc>
            <a:spcBef>
              <a:spcPct val="0"/>
            </a:spcBef>
            <a:spcAft>
              <a:spcPct val="35000"/>
            </a:spcAft>
            <a:buNone/>
          </a:pPr>
          <a:r>
            <a:rPr lang="es-MX" sz="700" b="0" kern="1200" dirty="0">
              <a:solidFill>
                <a:schemeClr val="bg1"/>
              </a:solidFill>
              <a:latin typeface="Arial" panose="020B0604020202020204" pitchFamily="34" charset="0"/>
              <a:cs typeface="Arial" panose="020B0604020202020204" pitchFamily="34" charset="0"/>
            </a:rPr>
            <a:t>Planta: 1  Contratista: 1</a:t>
          </a:r>
          <a:endParaRPr lang="es-CO" sz="700" b="0" kern="1200" dirty="0">
            <a:solidFill>
              <a:schemeClr val="bg1"/>
            </a:solidFill>
            <a:latin typeface="Arial" panose="020B0604020202020204" pitchFamily="34" charset="0"/>
            <a:cs typeface="Arial" panose="020B0604020202020204" pitchFamily="34" charset="0"/>
          </a:endParaRPr>
        </a:p>
      </dsp:txBody>
      <dsp:txXfrm>
        <a:off x="1290644" y="3252288"/>
        <a:ext cx="1366413" cy="251115"/>
      </dsp:txXfrm>
    </dsp:sp>
    <dsp:sp modelId="{EE4BE5D6-53A0-4AB3-83DD-B8506B1C40CB}">
      <dsp:nvSpPr>
        <dsp:cNvPr id="0" name=""/>
        <dsp:cNvSpPr/>
      </dsp:nvSpPr>
      <dsp:spPr>
        <a:xfrm>
          <a:off x="1282636" y="4739097"/>
          <a:ext cx="1346123" cy="241092"/>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b="1" kern="1200" dirty="0">
              <a:solidFill>
                <a:schemeClr val="bg1"/>
              </a:solidFill>
              <a:latin typeface="Arial" panose="020B0604020202020204" pitchFamily="34" charset="0"/>
              <a:cs typeface="Arial" panose="020B0604020202020204" pitchFamily="34" charset="0"/>
            </a:rPr>
            <a:t>Atención a la Ciudadanía</a:t>
          </a:r>
        </a:p>
        <a:p>
          <a:pPr marL="0" lvl="0" indent="0" algn="ctr" defTabSz="355600">
            <a:lnSpc>
              <a:spcPct val="90000"/>
            </a:lnSpc>
            <a:spcBef>
              <a:spcPct val="0"/>
            </a:spcBef>
            <a:spcAft>
              <a:spcPct val="35000"/>
            </a:spcAft>
            <a:buNone/>
          </a:pPr>
          <a:r>
            <a:rPr lang="es-CO" sz="700" b="0" kern="1200" dirty="0">
              <a:solidFill>
                <a:schemeClr val="bg1"/>
              </a:solidFill>
              <a:latin typeface="Arial" panose="020B0604020202020204" pitchFamily="34" charset="0"/>
              <a:cs typeface="Arial" panose="020B0604020202020204" pitchFamily="34" charset="0"/>
            </a:rPr>
            <a:t>Planta: 1  Contratistas: </a:t>
          </a:r>
        </a:p>
      </dsp:txBody>
      <dsp:txXfrm>
        <a:off x="1282636" y="4739097"/>
        <a:ext cx="1346123" cy="241092"/>
      </dsp:txXfrm>
    </dsp:sp>
    <dsp:sp modelId="{084302F8-6875-4A83-B671-EA3A1AF4C752}">
      <dsp:nvSpPr>
        <dsp:cNvPr id="0" name=""/>
        <dsp:cNvSpPr/>
      </dsp:nvSpPr>
      <dsp:spPr>
        <a:xfrm>
          <a:off x="1271295" y="5798114"/>
          <a:ext cx="1341099" cy="271014"/>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b="1" kern="1200" dirty="0">
              <a:solidFill>
                <a:schemeClr val="bg1"/>
              </a:solidFill>
              <a:latin typeface="Arial" panose="020B0604020202020204" pitchFamily="34" charset="0"/>
              <a:cs typeface="Arial" panose="020B0604020202020204" pitchFamily="34" charset="0"/>
            </a:rPr>
            <a:t>Gestión Ambiental </a:t>
          </a:r>
        </a:p>
        <a:p>
          <a:pPr marL="0" lvl="0" indent="0" algn="ctr" defTabSz="355600">
            <a:lnSpc>
              <a:spcPct val="90000"/>
            </a:lnSpc>
            <a:spcBef>
              <a:spcPct val="0"/>
            </a:spcBef>
            <a:spcAft>
              <a:spcPct val="35000"/>
            </a:spcAft>
            <a:buNone/>
          </a:pPr>
          <a:r>
            <a:rPr lang="es-CO" sz="700" b="0" kern="1200" dirty="0">
              <a:solidFill>
                <a:schemeClr val="bg1"/>
              </a:solidFill>
              <a:latin typeface="Arial" panose="020B0604020202020204" pitchFamily="34" charset="0"/>
              <a:cs typeface="Arial" panose="020B0604020202020204" pitchFamily="34" charset="0"/>
            </a:rPr>
            <a:t>Contratistas: 3</a:t>
          </a:r>
        </a:p>
      </dsp:txBody>
      <dsp:txXfrm>
        <a:off x="1271295" y="5798114"/>
        <a:ext cx="1341099" cy="271014"/>
      </dsp:txXfrm>
    </dsp:sp>
    <dsp:sp modelId="{4E66D112-85E0-42CA-BC26-54C7953B851B}">
      <dsp:nvSpPr>
        <dsp:cNvPr id="0" name=""/>
        <dsp:cNvSpPr/>
      </dsp:nvSpPr>
      <dsp:spPr>
        <a:xfrm>
          <a:off x="1278545" y="5067166"/>
          <a:ext cx="1355627" cy="228101"/>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b="1" kern="1200">
              <a:solidFill>
                <a:schemeClr val="bg1"/>
              </a:solidFill>
              <a:latin typeface="Arial" panose="020B0604020202020204" pitchFamily="34" charset="0"/>
              <a:cs typeface="Arial" panose="020B0604020202020204" pitchFamily="34" charset="0"/>
            </a:rPr>
            <a:t>Sistemas</a:t>
          </a:r>
        </a:p>
        <a:p>
          <a:pPr marL="0" lvl="0" indent="0" algn="ctr" defTabSz="355600">
            <a:lnSpc>
              <a:spcPct val="90000"/>
            </a:lnSpc>
            <a:spcBef>
              <a:spcPct val="0"/>
            </a:spcBef>
            <a:spcAft>
              <a:spcPct val="35000"/>
            </a:spcAft>
            <a:buNone/>
          </a:pPr>
          <a:r>
            <a:rPr lang="es-ES" sz="700" b="0" kern="1200">
              <a:solidFill>
                <a:schemeClr val="bg1"/>
              </a:solidFill>
              <a:latin typeface="Arial" panose="020B0604020202020204" pitchFamily="34" charset="0"/>
              <a:cs typeface="Arial" panose="020B0604020202020204" pitchFamily="34" charset="0"/>
            </a:rPr>
            <a:t>Contratistas: 1</a:t>
          </a:r>
        </a:p>
      </dsp:txBody>
      <dsp:txXfrm>
        <a:off x="1278545" y="5067166"/>
        <a:ext cx="1355627" cy="228101"/>
      </dsp:txXfrm>
    </dsp:sp>
    <dsp:sp modelId="{B33D1148-A21C-404A-94A6-3E1C35EC19BC}">
      <dsp:nvSpPr>
        <dsp:cNvPr id="0" name=""/>
        <dsp:cNvSpPr/>
      </dsp:nvSpPr>
      <dsp:spPr>
        <a:xfrm>
          <a:off x="1277394" y="5414310"/>
          <a:ext cx="1347050" cy="262719"/>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b="1" kern="1200">
              <a:solidFill>
                <a:schemeClr val="bg1"/>
              </a:solidFill>
              <a:latin typeface="Arial" panose="020B0604020202020204" pitchFamily="34" charset="0"/>
              <a:cs typeface="Arial" panose="020B0604020202020204" pitchFamily="34" charset="0"/>
            </a:rPr>
            <a:t>Calidad</a:t>
          </a:r>
        </a:p>
        <a:p>
          <a:pPr marL="0" lvl="0" indent="0" algn="ctr" defTabSz="355600">
            <a:lnSpc>
              <a:spcPct val="90000"/>
            </a:lnSpc>
            <a:spcBef>
              <a:spcPct val="0"/>
            </a:spcBef>
            <a:spcAft>
              <a:spcPct val="35000"/>
            </a:spcAft>
            <a:buNone/>
          </a:pPr>
          <a:r>
            <a:rPr lang="es-ES" sz="700" b="0" kern="1200">
              <a:solidFill>
                <a:schemeClr val="bg1"/>
              </a:solidFill>
              <a:latin typeface="Arial" panose="020B0604020202020204" pitchFamily="34" charset="0"/>
              <a:cs typeface="Arial" panose="020B0604020202020204" pitchFamily="34" charset="0"/>
            </a:rPr>
            <a:t>Planta: 1 </a:t>
          </a:r>
        </a:p>
      </dsp:txBody>
      <dsp:txXfrm>
        <a:off x="1277394" y="5414310"/>
        <a:ext cx="1347050" cy="262719"/>
      </dsp:txXfrm>
    </dsp:sp>
    <dsp:sp modelId="{DF7AF3B9-2C9B-46CB-8376-713672CFFF69}">
      <dsp:nvSpPr>
        <dsp:cNvPr id="0" name=""/>
        <dsp:cNvSpPr/>
      </dsp:nvSpPr>
      <dsp:spPr>
        <a:xfrm>
          <a:off x="1290381" y="3620403"/>
          <a:ext cx="1365823" cy="249058"/>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b="1" kern="1200">
              <a:solidFill>
                <a:schemeClr val="bg1"/>
              </a:solidFill>
              <a:latin typeface="Arial" panose="020B0604020202020204" pitchFamily="34" charset="0"/>
              <a:cs typeface="Arial" panose="020B0604020202020204" pitchFamily="34" charset="0"/>
            </a:rPr>
            <a:t>Contratación</a:t>
          </a:r>
        </a:p>
        <a:p>
          <a:pPr marL="0" lvl="0" indent="0" algn="ctr" defTabSz="355600">
            <a:lnSpc>
              <a:spcPct val="90000"/>
            </a:lnSpc>
            <a:spcBef>
              <a:spcPct val="0"/>
            </a:spcBef>
            <a:spcAft>
              <a:spcPct val="35000"/>
            </a:spcAft>
            <a:buNone/>
          </a:pPr>
          <a:r>
            <a:rPr lang="es-MX" sz="700" b="0" kern="1200" dirty="0">
              <a:solidFill>
                <a:schemeClr val="bg1"/>
              </a:solidFill>
              <a:latin typeface="Arial" panose="020B0604020202020204" pitchFamily="34" charset="0"/>
              <a:cs typeface="Arial" panose="020B0604020202020204" pitchFamily="34" charset="0"/>
            </a:rPr>
            <a:t>Planta: 2  Contratista: 1</a:t>
          </a:r>
          <a:endParaRPr lang="es-ES" sz="700" b="0" kern="1200">
            <a:solidFill>
              <a:schemeClr val="bg1"/>
            </a:solidFill>
            <a:latin typeface="Arial" panose="020B0604020202020204" pitchFamily="34" charset="0"/>
            <a:cs typeface="Arial" panose="020B0604020202020204" pitchFamily="34" charset="0"/>
          </a:endParaRPr>
        </a:p>
      </dsp:txBody>
      <dsp:txXfrm>
        <a:off x="1290381" y="3620403"/>
        <a:ext cx="1365823" cy="249058"/>
      </dsp:txXfrm>
    </dsp:sp>
    <dsp:sp modelId="{79C19E16-F899-40F1-BA8F-2C922A01B7F3}">
      <dsp:nvSpPr>
        <dsp:cNvPr id="0" name=""/>
        <dsp:cNvSpPr/>
      </dsp:nvSpPr>
      <dsp:spPr>
        <a:xfrm>
          <a:off x="3454051" y="1730251"/>
          <a:ext cx="1341081" cy="489729"/>
        </a:xfrm>
        <a:prstGeom prst="rect">
          <a:avLst/>
        </a:prstGeom>
        <a:solidFill>
          <a:srgbClr val="C00000"/>
        </a:solidFill>
        <a:ln w="12700" cap="flat" cmpd="sng" algn="ctr">
          <a:solidFill>
            <a:srgbClr val="C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b="1" kern="1200" dirty="0">
              <a:solidFill>
                <a:schemeClr val="bg1"/>
              </a:solidFill>
              <a:latin typeface="Arial" panose="020B0604020202020204" pitchFamily="34" charset="0"/>
              <a:cs typeface="Arial" panose="020B0604020202020204" pitchFamily="34" charset="0"/>
            </a:rPr>
            <a:t>ÁREA GESTIÓN POLICIVA</a:t>
          </a:r>
        </a:p>
        <a:p>
          <a:pPr marL="0" lvl="0" indent="0" algn="ctr" defTabSz="355600">
            <a:lnSpc>
              <a:spcPct val="90000"/>
            </a:lnSpc>
            <a:spcBef>
              <a:spcPct val="0"/>
            </a:spcBef>
            <a:spcAft>
              <a:spcPct val="35000"/>
            </a:spcAft>
            <a:buNone/>
          </a:pPr>
          <a:r>
            <a:rPr lang="es-CO" sz="700" b="0" kern="1200" dirty="0">
              <a:solidFill>
                <a:schemeClr val="bg1"/>
              </a:solidFill>
              <a:latin typeface="Arial" panose="020B0604020202020204" pitchFamily="34" charset="0"/>
              <a:cs typeface="Arial" panose="020B0604020202020204" pitchFamily="34" charset="0"/>
            </a:rPr>
            <a:t>Planta: 2   Contratistas: 15</a:t>
          </a:r>
        </a:p>
      </dsp:txBody>
      <dsp:txXfrm>
        <a:off x="3454051" y="1730251"/>
        <a:ext cx="1341081" cy="489729"/>
      </dsp:txXfrm>
    </dsp:sp>
    <dsp:sp modelId="{2426F101-594E-481D-9B55-AB96805AEDEA}">
      <dsp:nvSpPr>
        <dsp:cNvPr id="0" name=""/>
        <dsp:cNvSpPr/>
      </dsp:nvSpPr>
      <dsp:spPr>
        <a:xfrm>
          <a:off x="4297842" y="2899347"/>
          <a:ext cx="1173683" cy="339944"/>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ES" sz="800" b="1" kern="1200">
              <a:solidFill>
                <a:schemeClr val="bg1"/>
              </a:solidFill>
              <a:latin typeface="Arial" panose="020B0604020202020204" pitchFamily="34" charset="0"/>
              <a:cs typeface="Arial" panose="020B0604020202020204" pitchFamily="34" charset="0"/>
            </a:rPr>
            <a:t>Inspección de Policía</a:t>
          </a:r>
        </a:p>
        <a:p>
          <a:pPr marL="0" lvl="0" indent="0" algn="ctr" defTabSz="355600">
            <a:lnSpc>
              <a:spcPct val="90000"/>
            </a:lnSpc>
            <a:spcBef>
              <a:spcPct val="0"/>
            </a:spcBef>
            <a:spcAft>
              <a:spcPct val="35000"/>
            </a:spcAft>
            <a:buNone/>
          </a:pPr>
          <a:br>
            <a:rPr lang="es-ES" sz="600" b="1" kern="1200">
              <a:solidFill>
                <a:schemeClr val="bg1"/>
              </a:solidFill>
              <a:latin typeface="Arial" panose="020B0604020202020204" pitchFamily="34" charset="0"/>
              <a:cs typeface="Arial" panose="020B0604020202020204" pitchFamily="34" charset="0"/>
            </a:rPr>
          </a:br>
          <a:r>
            <a:rPr lang="es-ES" sz="600" b="1" kern="1200">
              <a:solidFill>
                <a:schemeClr val="bg1"/>
              </a:solidFill>
              <a:latin typeface="Arial" panose="020B0604020202020204" pitchFamily="34" charset="0"/>
              <a:cs typeface="Arial" panose="020B0604020202020204" pitchFamily="34" charset="0"/>
            </a:rPr>
            <a:t>Planta: 3  Contratistas: </a:t>
          </a:r>
        </a:p>
      </dsp:txBody>
      <dsp:txXfrm>
        <a:off x="4297842" y="2899347"/>
        <a:ext cx="1173683" cy="339944"/>
      </dsp:txXfrm>
    </dsp:sp>
    <dsp:sp modelId="{59640FC1-BC49-4AA8-A3FC-EDD8B7B3F4BF}">
      <dsp:nvSpPr>
        <dsp:cNvPr id="0" name=""/>
        <dsp:cNvSpPr/>
      </dsp:nvSpPr>
      <dsp:spPr>
        <a:xfrm>
          <a:off x="4291052" y="3467272"/>
          <a:ext cx="1139528" cy="343811"/>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s-ES" sz="900" b="1" kern="1200">
              <a:solidFill>
                <a:schemeClr val="bg1"/>
              </a:solidFill>
            </a:rPr>
            <a:t>Jurídica</a:t>
          </a:r>
        </a:p>
        <a:p>
          <a:pPr marL="0" lvl="0" indent="0" algn="ctr" defTabSz="400050">
            <a:lnSpc>
              <a:spcPct val="90000"/>
            </a:lnSpc>
            <a:spcBef>
              <a:spcPct val="0"/>
            </a:spcBef>
            <a:spcAft>
              <a:spcPct val="35000"/>
            </a:spcAft>
            <a:buNone/>
          </a:pPr>
          <a:r>
            <a:rPr lang="es-ES" sz="700" b="0" kern="1200">
              <a:solidFill>
                <a:schemeClr val="bg1"/>
              </a:solidFill>
            </a:rPr>
            <a:t>Planta: 2  Contratistas:</a:t>
          </a:r>
        </a:p>
      </dsp:txBody>
      <dsp:txXfrm>
        <a:off x="4291052" y="3467272"/>
        <a:ext cx="1139528" cy="343811"/>
      </dsp:txXfrm>
    </dsp:sp>
    <dsp:sp modelId="{D7EB661F-47E7-4CB2-9159-CECEF0BD8406}">
      <dsp:nvSpPr>
        <dsp:cNvPr id="0" name=""/>
        <dsp:cNvSpPr/>
      </dsp:nvSpPr>
      <dsp:spPr>
        <a:xfrm>
          <a:off x="1039333" y="1001454"/>
          <a:ext cx="1030968" cy="248142"/>
        </a:xfrm>
        <a:prstGeom prst="rect">
          <a:avLst/>
        </a:prstGeom>
        <a:solidFill>
          <a:schemeClr val="bg1">
            <a:lumMod val="50000"/>
          </a:schemeClr>
        </a:solidFill>
        <a:ln w="12700" cap="flat" cmpd="sng" algn="ctr">
          <a:solidFill>
            <a:schemeClr val="bg1">
              <a:lumMod val="5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CO" sz="800" b="1" kern="1200" dirty="0">
              <a:solidFill>
                <a:schemeClr val="bg1"/>
              </a:solidFill>
              <a:latin typeface="Arial" panose="020B0604020202020204" pitchFamily="34" charset="0"/>
              <a:cs typeface="Arial" panose="020B0604020202020204" pitchFamily="34" charset="0"/>
            </a:rPr>
            <a:t>COMUNICACIONES</a:t>
          </a:r>
        </a:p>
        <a:p>
          <a:pPr marL="0" lvl="0" indent="0" algn="ctr" defTabSz="355600">
            <a:lnSpc>
              <a:spcPct val="90000"/>
            </a:lnSpc>
            <a:spcBef>
              <a:spcPct val="0"/>
            </a:spcBef>
            <a:spcAft>
              <a:spcPct val="35000"/>
            </a:spcAft>
            <a:buNone/>
          </a:pPr>
          <a:r>
            <a:rPr lang="es-CO" sz="700" b="0" kern="1200" dirty="0">
              <a:solidFill>
                <a:schemeClr val="bg1"/>
              </a:solidFill>
              <a:latin typeface="Arial" panose="020B0604020202020204" pitchFamily="34" charset="0"/>
              <a:cs typeface="Arial" panose="020B0604020202020204" pitchFamily="34" charset="0"/>
            </a:rPr>
            <a:t>Contratistas: 3</a:t>
          </a:r>
        </a:p>
      </dsp:txBody>
      <dsp:txXfrm>
        <a:off x="1039333" y="1001454"/>
        <a:ext cx="1030968" cy="24814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28D69-02F3-4EF5-858A-A831A947B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Words>12686</Words>
  <Pages>1</Pages>
  <Characters>68725</Characters>
  <Application>WPS Office</Application>
  <DocSecurity>0</DocSecurity>
  <Paragraphs>1332</Paragraphs>
  <ScaleCrop>false</ScaleCrop>
  <LinksUpToDate>false</LinksUpToDate>
  <CharactersWithSpaces>80970</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2020-08-27T03:37:00Z</dcterms:created>
  <dc:creator>DELL</dc:creator>
  <lastModifiedBy>ART-L28</lastModifiedBy>
  <dcterms:modified xsi:type="dcterms:W3CDTF">2020-08-29T21:51:00Z</dcterms:modified>
  <revision>36</revision>
</coreProperties>
</file>

<file path=docProps/custom.xml><?xml version="1.0" encoding="utf-8"?>
<Properties xmlns="http://schemas.openxmlformats.org/officeDocument/2006/custom-properties" xmlns:vt="http://schemas.openxmlformats.org/officeDocument/2006/docPropsVTypes"/>
</file>